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6.png" ContentType="image/png"/>
  <Override PartName="/word/media/rId165.png" ContentType="image/png"/>
  <Override PartName="/word/media/rId130.png" ContentType="image/png"/>
  <Override PartName="/word/media/rId19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16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38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(Rothman et al. 2021, chap. 4)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(Roach et al. 2015)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" w:name="tbl-oc-m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OC,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MI,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Total,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5000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"No OC 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Total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MI)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.after =</w:t>
                  </w:r>
                  <w:r>
                    <w:rPr>
                      <w:rStyle w:val="NormalTok"/>
                    </w:rPr>
                    <w:t xml:space="preserve"> MI)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totals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(MI,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No MI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Total), sum))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"Total"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(oc_mi, totals)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26"/>
                <w:p/>
              </w:tc>
            </w:tr>
          </w:tbl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1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1"/>
              </w:tc>
            </w:tr>
          </w:tbl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4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8)</w:t>
                  </w:r>
                  <w:r>
                    <w:t xml:space="preserve">.</w:t>
                  </w:r>
                </w:p>
                <w:bookmarkEnd w:id="34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(Rothman et al. 2021, chap. 7)</w:t>
                  </w:r>
                  <w:r>
                    <w:t xml:space="preserve">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37"/>
          <w:p/>
        </w:tc>
      </w:tr>
    </w:tbl>
    <w:bookmarkEnd w:id="38"/>
    <w:bookmarkStart w:id="71" w:name="comparing-probabilities"/>
    <w:p>
      <w:pPr>
        <w:pStyle w:val="Heading2"/>
      </w:pPr>
      <w:r>
        <w:t xml:space="preserve">1.2 Comparing probabilities</w:t>
      </w:r>
    </w:p>
    <w:bookmarkStart w:id="46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4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5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46"/>
    <w:bookmarkStart w:id="54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8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48"/>
              </w:tc>
            </w:tr>
          </w:tbl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(2012, sec. 8.1.4)</w:t>
            </w:r>
            <w:r>
              <w:t xml:space="preserve">, which uses similar phrasing.</w:t>
            </w:r>
          </w:p>
          <w:bookmarkEnd w:id="53"/>
          <w:p/>
        </w:tc>
      </w:tr>
    </w:tbl>
    <w:bookmarkEnd w:id="54"/>
    <w:bookmarkStart w:id="58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57"/>
          <w:p/>
        </w:tc>
      </w:tr>
    </w:tbl>
    <w:bookmarkEnd w:id="58"/>
    <w:bookmarkStart w:id="70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59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bookmarkStart w:id="60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bookmarkStart w:id="61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9"/>
          <w:p/>
        </w:tc>
      </w:tr>
    </w:tbl>
    <w:bookmarkEnd w:id="70"/>
    <w:bookmarkEnd w:id="71"/>
    <w:bookmarkStart w:id="180" w:name="odds-and-odds-ratios"/>
    <w:p>
      <w:pPr>
        <w:pStyle w:val="Heading2"/>
      </w:pPr>
      <w:r>
        <w:t xml:space="preserve">1.3 Odds and odds ratios</w:t>
      </w:r>
    </w:p>
    <w:bookmarkStart w:id="121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4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5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78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8"/>
          </w:p>
          <w:bookmarkEnd w:id="79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1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89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bookmarkEnd w:id="9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2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1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bookmarkEnd w:id="92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odds-prob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fig-odds-probs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Odds versus probability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3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6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6"/>
          </w:p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9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bookmarkEnd w:id="1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1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2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2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0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1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1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0"/>
    <w:bookmarkEnd w:id="121"/>
    <w:bookmarkStart w:id="141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4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4"/>
          </w:p>
          <w:bookmarkEnd w:id="1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26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inv-odd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odds_inv,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"inverse-odds"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"x=y"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4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inverse odds function,</w:t>
            </w:r>
            <w:r>
              <w:t xml:space="preserve"> </w:t>
            </w:r>
            <m:oMath>
              <m:r>
                <m:rPr>
                  <m:sty m:val="p"/>
                </m:rPr>
                <m:t>invodds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</m:e>
              </m:d>
              <m:r>
                <m:t>​</m:t>
              </m:r>
            </m:oMath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5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0"/>
        </w:tc>
      </w:tr>
    </w:tbl>
    <w:bookmarkEnd w:id="141"/>
    <w:bookmarkStart w:id="179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4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5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4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8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48"/>
          <w:p/>
        </w:tc>
      </w:tr>
    </w:tbl>
    <w:bookmarkStart w:id="151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2x2-gener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A generic 2x2 table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Non-exposed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c+d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b+d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a+b+c+d</w:t>
                  </w:r>
                </w:p>
              </w:tc>
            </w:tr>
          </w:tbl>
          <w:bookmarkEnd w:id="149"/>
          <w:p/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0"/>
        </w:tc>
      </w:tr>
    </w:tbl>
    <w:bookmarkEnd w:id="151"/>
    <w:bookmarkStart w:id="158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5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 the same steps as for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inserting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into the conditions (RHS of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</m:oMath>
            <w:r>
              <w:t xml:space="preserve">) of every expression.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(Rosenman et al. 1975)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57"/>
          <w:p/>
        </w:tc>
      </w:tr>
    </w:tbl>
    <w:bookmarkEnd w:id="158"/>
    <w:bookmarkStart w:id="171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1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0"/>
          <w:p/>
        </w:tc>
      </w:tr>
    </w:tbl>
    <w:bookmarkEnd w:id="161"/>
    <w:bookmarkStart w:id="170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2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4"/>
          <w:p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rd-rr-or"/>
          <w:p>
            <w:pPr>
              <w:pStyle w:val="SourceCode"/>
              <w:jc w:val="center"/>
            </w:pP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(run_graphs) {</w:t>
            </w:r>
            <w:r>
              <w:br/>
            </w:r>
            <w:r>
              <w:rPr>
                <w:rStyle w:val="NormalTok"/>
              </w:rPr>
              <w:t xml:space="preserve">  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p2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p1</w:t>
            </w:r>
            <w:r>
              <w:br/>
            </w:r>
            <w:r>
              <w:rPr>
                <w:rStyle w:val="NormalTok"/>
              </w:rPr>
              <w:t xml:space="preserve">  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rPr>
                <w:rStyle w:val="NormalTok"/>
              </w:rPr>
              <w:t xml:space="preserve">  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(p2)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(p1)</w:t>
            </w:r>
            <w:r>
              <w:br/>
            </w:r>
            <w:r>
              <w:rPr>
                <w:rStyle w:val="NormalTok"/>
              </w:rPr>
              <w:t xml:space="preserve">  OR_minus_RR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(p1, p2) </w:t>
            </w:r>
            <w:r>
              <w:rPr>
                <w:rStyle w:val="FunctionTok"/>
              </w:rPr>
              <w:t xml:space="preserve">OR</w:t>
            </w:r>
            <w:r>
              <w:rPr>
                <w:rStyle w:val="NormalTok"/>
              </w:rPr>
              <w:t xml:space="preserve">(p2, p1)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RR</w:t>
            </w:r>
            <w:r>
              <w:rPr>
                <w:rStyle w:val="NormalTok"/>
              </w:rPr>
              <w:t xml:space="preserve">(p2, p1)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br/>
            </w:r>
            <w:r>
              <w:rPr>
                <w:rStyle w:val="NormalTok"/>
              </w:rPr>
              <w:t xml:space="preserve">  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n_ticks)</w:t>
            </w:r>
            <w:r>
              <w:br/>
            </w:r>
            <w:r>
              <w:rPr>
                <w:rStyle w:val="NormalTok"/>
              </w:rPr>
              <w:t xml:space="preserve">  RD_mat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RD)</w:t>
            </w:r>
            <w:r>
              <w:br/>
            </w:r>
            <w:r>
              <w:rPr>
                <w:rStyle w:val="NormalTok"/>
              </w:rPr>
              <w:t xml:space="preserve">  RR_mat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RR)</w:t>
            </w:r>
            <w:r>
              <w:br/>
            </w:r>
            <w:r>
              <w:rPr>
                <w:rStyle w:val="NormalTok"/>
              </w:rPr>
              <w:t xml:space="preserve">  OR_mat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(probs, probs, OR)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opacity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z_min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z_max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probs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(RD_mat),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"green"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(RR_mat),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"Risk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opacity,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colorscale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(OR_mat),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contours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show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z_min,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end =</w:t>
            </w:r>
            <w:r>
              <w:rPr>
                <w:rStyle w:val="NormalTok"/>
              </w:rPr>
              <w:t xml:space="preserve"> z_max,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showscale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Ratio"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highlight the x = y line, where the two probabilities are equal: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there, the risk difference is 0 and the risk and odds ratios are 1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(probs,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probs),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n_ticks),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n_ticks)),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"equal probabilities (x = y)"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inherit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"reference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group probability"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CommentTok"/>
              </w:rPr>
              <w:t xml:space="preserve"># type = "log",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(z_min, z_max),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metric"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camera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eye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aspectratio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graph-rd-rr-or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Graph of risk difference, risk ratio, and odds ratio.</w:t>
            </w:r>
            <w:r>
              <w:t xml:space="preserve"> </w:t>
            </w:r>
            <w:r>
              <w:t xml:space="preserve">The black lines mark where the two probabilities are equal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line):</w:t>
            </w:r>
            <w:r>
              <w:t xml:space="preserve"> </w:t>
            </w:r>
            <w:r>
              <w:t xml:space="preserve">there, the risk difference is 0</w:t>
            </w:r>
            <w:r>
              <w:t xml:space="preserve"> </w:t>
            </w:r>
            <w:r>
              <w:t xml:space="preserve">and the risk ratio and odds ratio are both 1.</w:t>
            </w:r>
          </w:p>
          <w:bookmarkEnd w:id="168"/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6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0"/>
    <w:bookmarkEnd w:id="171"/>
    <w:bookmarkStart w:id="177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2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3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oc-mi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Simulated data from study of oral contraceptive use and heart attack risk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tbl_oc_mi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243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550"/>
                    <w:gridCol w:w="990"/>
                    <w:gridCol w:w="9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4,987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No OC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9,993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10,000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14,980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15,000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77"/>
    <w:bookmarkStart w:id="178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59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(Lee 1994)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(Lumley 2010)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78"/>
    <w:bookmarkEnd w:id="179"/>
    <w:bookmarkEnd w:id="180"/>
    <w:bookmarkStart w:id="215" w:name="the-logit-and-expit-functions"/>
    <w:p>
      <w:pPr>
        <w:pStyle w:val="Heading2"/>
      </w:pPr>
      <w:r>
        <w:t xml:space="preserve">1.4 The logit and expit functions</w:t>
      </w:r>
    </w:p>
    <w:bookmarkStart w:id="198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2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4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4"/>
          </w:p>
          <w:bookmarkEnd w:id="1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86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87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0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89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89"/>
                </w:p>
                <w:bookmarkEnd w:id="190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3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3"/>
          <w:p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logi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logit_plot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001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"logit(p)"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8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</w:p>
          <w:bookmarkEnd w:id="197"/>
        </w:tc>
      </w:tr>
    </w:tbl>
    <w:bookmarkEnd w:id="198"/>
    <w:bookmarkStart w:id="211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9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1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0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1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4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4"/>
          <w:p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fig-expit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expit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(eta)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expit_plot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expit,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expit</w:t>
            </w:r>
            <w:r>
              <w:rPr>
                <w:rStyle w:val="NormalTok"/>
              </w:rPr>
              <w:t xml:space="preserve">(eta)))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(eta))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(expit_plot)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binary-outcome-associations_files/figure-docx/unnamed-chunk-9-1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expit function</w:t>
            </w:r>
          </w:p>
          <w:bookmarkEnd w:id="20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0"/>
          <w:p/>
        </w:tc>
      </w:tr>
    </w:tbl>
    <w:bookmarkEnd w:id="211"/>
    <w:bookmarkStart w:id="214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expit-logit-diagram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Diagram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213"/>
        </w:tc>
      </w:tr>
    </w:tbl>
    <w:bookmarkEnd w:id="214"/>
    <w:bookmarkEnd w:id="215"/>
    <w:bookmarkEnd w:id="216"/>
    <w:bookmarkStart w:id="236" w:name="references"/>
    <w:p>
      <w:pPr>
        <w:pStyle w:val="Heading1"/>
      </w:pPr>
      <w:r>
        <w:t xml:space="preserve">References</w:t>
      </w:r>
    </w:p>
    <w:bookmarkStart w:id="235" w:name="refs"/>
    <w:bookmarkStart w:id="21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1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18"/>
    <w:bookmarkStart w:id="220" w:name="ref-LEEJAMES1994ORoR"/>
    <w:p>
      <w:pPr>
        <w:pStyle w:val="Bibliography"/>
      </w:pPr>
      <w:r>
        <w:t xml:space="preserve">Lee, James. 1994.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(England) 23 (1): 201–3.</w:t>
      </w:r>
      <w:r>
        <w:t xml:space="preserve"> </w:t>
      </w:r>
      <w:hyperlink r:id="rId219">
        <w:r>
          <w:rPr>
            <w:rStyle w:val="Hyperlink"/>
          </w:rPr>
          <w:t xml:space="preserve">https://doi.org/10.1093/ije/23.1.201</w:t>
        </w:r>
      </w:hyperlink>
      <w:r>
        <w:t xml:space="preserve">.</w:t>
      </w:r>
    </w:p>
    <w:bookmarkEnd w:id="220"/>
    <w:bookmarkStart w:id="222" w:name="ref-lumleyComplexSurveys2010"/>
    <w:p>
      <w:pPr>
        <w:pStyle w:val="Bibliography"/>
      </w:pPr>
      <w:r>
        <w:t xml:space="preserve">Lumley, Thomas. 2010.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Wiley Series in Survey Methodology. John Wiley.</w:t>
      </w:r>
      <w:r>
        <w:t xml:space="preserve"> </w:t>
      </w:r>
      <w:hyperlink r:id="rId221">
        <w:r>
          <w:rPr>
            <w:rStyle w:val="Hyperlink"/>
          </w:rPr>
          <w:t xml:space="preserve">https://doi.org/10.1002/9780470580066</w:t>
        </w:r>
      </w:hyperlink>
      <w:r>
        <w:t xml:space="preserve">.</w:t>
      </w:r>
    </w:p>
    <w:bookmarkEnd w:id="222"/>
    <w:bookmarkStart w:id="224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223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224"/>
    <w:bookmarkStart w:id="226" w:name="ref-roach2015combined"/>
    <w:p>
      <w:pPr>
        <w:pStyle w:val="Bibliography"/>
      </w:pPr>
      <w:r>
        <w:t xml:space="preserve">Roach, Rachel E. J., Frans M. Helmerhorst, Willem M. Lijfering, Theo Stijnen, Ale Algra, and Olaf M. Dekkers. 2015.</w:t>
      </w:r>
      <w:r>
        <w:t xml:space="preserve"> </w:t>
      </w:r>
      <w:r>
        <w:t xml:space="preserve">“Combined Oral Contraceptives: The Risk of Myocardial Infarction and Ischemic Stroke.”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8: CD011054.</w:t>
      </w:r>
      <w:r>
        <w:t xml:space="preserve"> </w:t>
      </w:r>
      <w:hyperlink r:id="rId225">
        <w:r>
          <w:rPr>
            <w:rStyle w:val="Hyperlink"/>
          </w:rPr>
          <w:t xml:space="preserve">https://doi.org/10.1002/14651858.CD011054.pub2</w:t>
        </w:r>
      </w:hyperlink>
      <w:r>
        <w:t xml:space="preserve">.</w:t>
      </w:r>
    </w:p>
    <w:bookmarkEnd w:id="226"/>
    <w:bookmarkStart w:id="22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27"/>
    <w:bookmarkStart w:id="22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2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29"/>
    <w:bookmarkStart w:id="23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30"/>
    <w:bookmarkStart w:id="232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232"/>
    <w:bookmarkStart w:id="2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34"/>
    <w:bookmarkEnd w:id="235"/>
    <w:bookmarkEnd w:id="2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76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6" Target="media/rId96.png" /><Relationship Type="http://schemas.openxmlformats.org/officeDocument/2006/relationships/image" Id="rId165" Target="media/rId165.png" /><Relationship Type="http://schemas.openxmlformats.org/officeDocument/2006/relationships/image" Id="rId130" Target="media/rId130.png" /><Relationship Type="http://schemas.openxmlformats.org/officeDocument/2006/relationships/image" Id="rId194" Target="media/rId194.png" /><Relationship Type="http://schemas.openxmlformats.org/officeDocument/2006/relationships/image" Id="rId205" Target="media/rId205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8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21" Target="https://doi.org/10.1002/9780470580066" TargetMode="External" /><Relationship Type="http://schemas.openxmlformats.org/officeDocument/2006/relationships/hyperlink" Id="rId233" Target="https://doi.org/10.1007/978-1-4614-1353-0" TargetMode="External" /><Relationship Type="http://schemas.openxmlformats.org/officeDocument/2006/relationships/hyperlink" Id="rId219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2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28" Target="https://doi.org/10.1001/jama.1975.03260080034016" TargetMode="External" /><Relationship Type="http://schemas.openxmlformats.org/officeDocument/2006/relationships/hyperlink" Id="rId225" Target="https://doi.org/10.1002/14651858.CD011054.pub2" TargetMode="External" /><Relationship Type="http://schemas.openxmlformats.org/officeDocument/2006/relationships/hyperlink" Id="rId221" Target="https://doi.org/10.1002/9780470580066" TargetMode="External" /><Relationship Type="http://schemas.openxmlformats.org/officeDocument/2006/relationships/hyperlink" Id="rId233" Target="https://doi.org/10.1007/978-1-4614-1353-0" TargetMode="External" /><Relationship Type="http://schemas.openxmlformats.org/officeDocument/2006/relationships/hyperlink" Id="rId219" Target="https://doi.org/10.1093/ije/23.1.201" TargetMode="External" /><Relationship Type="http://schemas.openxmlformats.org/officeDocument/2006/relationships/hyperlink" Id="rId217" Target="https://doi.org/10.1201/9781315182780" TargetMode="External" /><Relationship Type="http://schemas.openxmlformats.org/officeDocument/2006/relationships/hyperlink" Id="rId187" Target="https://en.wikipedia.org/wiki/Function_composition" TargetMode="External" /><Relationship Type="http://schemas.openxmlformats.org/officeDocument/2006/relationships/hyperlink" Id="rId77" Target="https://en.wikipedia.org/wiki/Omega" TargetMode="External" /><Relationship Type="http://schemas.openxmlformats.org/officeDocument/2006/relationships/hyperlink" Id="rId43" Target="https://en.wikipedia.org/wiki/Percentage_point" TargetMode="External" /><Relationship Type="http://schemas.openxmlformats.org/officeDocument/2006/relationships/hyperlink" Id="rId45" Target="https://morrison-lab.github.io/mds/algebra-basics.html#sec-percent" TargetMode="External" /><Relationship Type="http://schemas.openxmlformats.org/officeDocument/2006/relationships/hyperlink" Id="rId181" Target="https://morrison-lab.github.io/mds/algebra-exponentials.html#def-natural-log" TargetMode="External" /><Relationship Type="http://schemas.openxmlformats.org/officeDocument/2006/relationships/hyperlink" Id="rId87" Target="https://morrison-lab.github.io/pds/probability-basics.html#cor-p-neg" TargetMode="External" /><Relationship Type="http://schemas.openxmlformats.org/officeDocument/2006/relationships/hyperlink" Id="rId80" Target="https://morrison-lab.github.io/pds/probability-basics.html#def-conditional-prob" TargetMode="External" /><Relationship Type="http://schemas.openxmlformats.org/officeDocument/2006/relationships/hyperlink" Id="rId153" Target="https://morrison-lab.github.io/pds/probability-basics.html#thm-law-conditional-prob" TargetMode="External" /><Relationship Type="http://schemas.openxmlformats.org/officeDocument/2006/relationships/hyperlink" Id="rId101" Target="https://morrison-lab.github.io/pds/random-variables.html#def-bernoulli" TargetMode="External" /><Relationship Type="http://schemas.openxmlformats.org/officeDocument/2006/relationships/hyperlink" Id="rId159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169" Target="https://morrison-lab.github.io/sds/inference.html#def-null-hypothesis" TargetMode="External" /><Relationship Type="http://schemas.openxmlformats.org/officeDocument/2006/relationships/hyperlink" Id="rId40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6" Target="https://www.etymonline.com/search?q=omega" TargetMode="External" /><Relationship Type="http://schemas.openxmlformats.org/officeDocument/2006/relationships/hyperlink" Id="rId144" Target="https://www.youtube.com/watch?v=8nm0G-1uJzA" TargetMode="External" /><Relationship Type="http://schemas.openxmlformats.org/officeDocument/2006/relationships/hyperlink" Id="rId74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2026-10-16T08:00:26Z</dcterms:created>
  <dcterms:modified xsi:type="dcterms:W3CDTF">2026-10-16T08:00:26Z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Risks, odds, odds ratios, and the logit and expit functions</vt:lpwstr>
  </property>
  <property fmtid="{D5CDD505-2E9C-101B-9397-08002B2CF9AE}" pid="17" name="toc-title">
    <vt:lpwstr>Table of contents</vt:lpwstr>
  </property>
</Properties>
</file>