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(Vittinghoff et al. 2012, chap. 9)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(2020)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(Holland 1986)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(Rubin 1974; Holland 1986)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  <w:p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(Holland 1986)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(Hernán and Robins 2020)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  <w:p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nor/>
                    <m:sty m:val="p"/>
                  </m:rPr>
                  <m:t> in the support of 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  <w:p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  <w:p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(Hulley et al. 1998)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(1998)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  <w:p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(Hernán and Robins 2020, chap. 3)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(Hernán and Robins 2020, chap. 3)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85"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categorical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Continuous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9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9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0"/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1"/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3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11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 over 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  <w:p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l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</m:e>
            </m:d>
            <m:r>
              <m:t>​</m:t>
            </m:r>
          </m:e>
        </m:acc>
      </m:oMath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L</m:t>
              </m:r>
            </m:e>
          </m:acc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ATE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 and conditional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outcome model specification)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(algebraic simplification)</m:t>
              </m:r>
            </m:e>
          </m:eqArr>
        </m:oMath>
      </m:oMathPara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26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m:oMath>
        <m:acc>
          <m:accPr>
            <m:chr m:val="̃"/>
          </m:accPr>
          <m:e>
            <m:r>
              <m:t>L</m:t>
            </m:r>
          </m:e>
        </m:acc>
      </m:oMath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(1983)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∣</m:t>
                </m:r>
                <m:r>
                  <m:t>e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L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 estimated propensity score</w:t>
      </w:r>
      <w:r>
        <w:t xml:space="preserve"> </w:t>
      </w:r>
      <m:oMath>
        <m:acc>
          <m:accPr>
            <m:chr m:val="̂"/>
          </m:accPr>
          <m:e>
            <m:r>
              <m:t>e</m:t>
            </m:r>
          </m:e>
        </m:acc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L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e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l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L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Y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1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A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a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t> </m:t>
                                </m:r>
                                <m:r>
                                  <m:t>Y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(pull out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, which positivity keeps finite)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t> 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1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exchangeability: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a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L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  <w:p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.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146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51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152"/>
    <w:bookmarkStart w:id="154" w:name="ref-holland1986statistics"/>
    <w:p>
      <w:pPr>
        <w:pStyle w:val="Bibliography"/>
      </w:pPr>
      <w:r>
        <w:t xml:space="preserve">Holland, Paul W. 1986.</w:t>
      </w:r>
      <w:r>
        <w:t xml:space="preserve"> </w:t>
      </w:r>
      <w:r>
        <w:t xml:space="preserve">“Statistics and Causal Inference.”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81 (396): 945–60.</w:t>
      </w:r>
      <w:r>
        <w:t xml:space="preserve"> </w:t>
      </w:r>
      <w:hyperlink r:id="rId153">
        <w:r>
          <w:rPr>
            <w:rStyle w:val="Hyperlink"/>
          </w:rPr>
          <w:t xml:space="preserve">https://doi.org/10.2307/2289064</w:t>
        </w:r>
      </w:hyperlink>
      <w:r>
        <w:t xml:space="preserve">.</w:t>
      </w:r>
    </w:p>
    <w:bookmarkEnd w:id="154"/>
    <w:bookmarkStart w:id="155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5"/>
    <w:bookmarkStart w:id="15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56"/>
    <w:bookmarkStart w:id="15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15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158"/>
    <w:bookmarkStart w:id="160" w:name="ref-rosenbaum1983central"/>
    <w:p>
      <w:pPr>
        <w:pStyle w:val="Bibliography"/>
      </w:pPr>
      <w:r>
        <w:t xml:space="preserve">Rosenbaum, Paul R., and Donald B.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159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160"/>
    <w:bookmarkStart w:id="16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6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62"/>
    <w:bookmarkStart w:id="164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63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1" Target="https://doi.org/10.1001/jama.1975.03260080034016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037/h0037350" TargetMode="External" /><Relationship Type="http://schemas.openxmlformats.org/officeDocument/2006/relationships/hyperlink" Id="rId159" Target="https://doi.org/10.1093/biomet/70.1.41" TargetMode="External" /><Relationship Type="http://schemas.openxmlformats.org/officeDocument/2006/relationships/hyperlink" Id="rId153" Target="https://doi.org/10.2307/2289064" TargetMode="External" /><Relationship Type="http://schemas.openxmlformats.org/officeDocument/2006/relationships/hyperlink" Id="rId157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1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1" Target="https://doi.org/10.1001/jama.1975.03260080034016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037/h0037350" TargetMode="External" /><Relationship Type="http://schemas.openxmlformats.org/officeDocument/2006/relationships/hyperlink" Id="rId159" Target="https://doi.org/10.1093/biomet/70.1.41" TargetMode="External" /><Relationship Type="http://schemas.openxmlformats.org/officeDocument/2006/relationships/hyperlink" Id="rId153" Target="https://doi.org/10.2307/2289064" TargetMode="External" /><Relationship Type="http://schemas.openxmlformats.org/officeDocument/2006/relationships/hyperlink" Id="rId157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1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2026-10-16T06:17:47Z</dcterms:created>
  <dcterms:modified xsi:type="dcterms:W3CDTF">2026-10-16T06:17:47Z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Estimating causal effects from regression models</vt:lpwstr>
  </property>
  <property fmtid="{D5CDD505-2E9C-101B-9397-08002B2CF9AE}" pid="17" name="toc-title">
    <vt:lpwstr>Table of contents</vt:lpwstr>
  </property>
</Properties>
</file>