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outcome-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 types, examples, and the regression analyses that match them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diseased/not; died/survived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count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infections per month; number of follow-up visits per patient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 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from exposure until disease onset; time from onset until recurrence; time from disease onset until disease progression; time from onset until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ordered levels</w:t>
                    </w:r>
                  </w:hyperlink>
                  <w:r>
                    <w:rPr>
                      <w:rStyle w:val="FootnoteReference"/>
                    </w:rPr>
                    <w:footnoteReference w:id="5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pain level (0 to 10 scale); approval rating (0 to 5 stars)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ordinal regression</w:t>
                  </w:r>
                </w:p>
              </w:tc>
            </w:tr>
          </w:tbl>
          <w:bookmarkEnd w:id="58"/>
          <w:p/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Comparing the categorizations of regression model uses in</w:t>
            </w:r>
            <w:r>
              <w:t xml:space="preserve"> </w:t>
            </w:r>
            <w:r>
              <w:t xml:space="preserve">Vittinghoff et al. [3, Sec. 1.3]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[4, Sec. 4.1]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[3]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[4]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81"/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86"/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91"/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96"/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bookmarkEnd w:id="101"/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06"/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111"/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116"/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121"/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$$\operatorname{P}(Y|\mathord{\smash[b]{\underset{\raise.3ex\hbox{$\scriptstyle\sim$}}{X}}\vphantom{X}})$$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pairings of terms for variables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w:r>
              <w:t xml:space="preserve">$P(Y|\mathord{\smash[b]{\underset{\raise.3ex\hbox{$\scriptstyle\sim$}}{X}}\vphantom{X}})$</w:t>
            </w:r>
            <w:r>
              <w:t xml:space="preserve"> </w:t>
            </w:r>
            <w:r>
              <w:rPr>
                <w:rStyle w:val="FootnoteReference"/>
              </w:rPr>
              <w:footnoteReference w:id="131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$\mathord{\smash[b]{\underset{\raise.3ex\hbox{$\scriptstyle\sim$}}{X}}\vphantom{X}}$</w:t>
                  </w:r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$\operatorname{log}\mathopen{}\left\{\frac{\mu(y)}{1-\mu(y)}\right\}\mathclose{}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$\operatorname{log}\mathopen{}\left\{\mu(y)\right\}\mathclose{}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$\operatorname{log}\mathopen{}\left\{-\operatorname{log}\mathopen{}\left\{1-\mu(y)\right\}\mathclose{}\right\}\mathclose{}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\operatorname{log}\mathopen{}\left\{x\right\}\mathclose{}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\stackrel{\text{def}}{=}\operatorname{E}\mathopen{}\left[Y|\mathord{\smash[b]{\underset{\raise.3ex\hbox{$\scriptstyle\sim$}}{X}}\vphantom{X}}=\mathord{\smash[b]{\underset{\raise.3ex\hbox{$\scriptstyle\sim$}}{x}}\vphantom{x}}\right]\mathclose{}$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  <w:p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\operatorname{exp}\mathopen{}\left\{\eta(\mathord{\smash[b]{\underset{\raise.3ex\hbox{$\scriptstyle\sim$}}{x}}\vphantom{x}})\right\}\mathclose{}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  <w:p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  <w:p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\stackrel{\text{def}}{=}\operatorname{E}\mathopen{}\left[Y_i | \mathord{\smash[b]{\underset{\raise.3ex\hbox{$\scriptstyle\sim$}}{X}}\vphantom{X}}_i = \mathord{\smash[b]{\underset{\raise.3ex\hbox{$\scriptstyle\sim$}}{x}}\vphantom{x}}_i\right]\mathclose{}$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  <w:p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0" w:name="tbl-chronic-cou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Frequency distribution of the number of chronic medical conditions,</w:t>
                  </w:r>
                  <w:r>
                    <w:t xml:space="preserve"> </w:t>
                  </w:r>
                  <w:r>
                    <w:t xml:space="preserve">by residence</w:t>
                  </w:r>
                  <w:r>
                    <w:t xml:space="preserve"> </w:t>
                  </w:r>
                  <w:r>
                    <w:t xml:space="preserve">[10, Sec. 2.2.1], Table 2.1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residence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residence,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conditions =</w:t>
                  </w:r>
                  <w:r>
                    <w:rPr>
                      <w:rStyle w:val="NormalTok"/>
                    </w:rPr>
                    <w:t xml:space="preserve"> 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conditions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conditions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residence  0  1  2  3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town     6 10  4  5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country  9  8  5  1  0</w:t>
                  </w:r>
                </w:p>
                <w:bookmarkEnd w:id="190"/>
              </w:tc>
            </w:tr>
          </w:tbl>
          <w:bookmarkEnd w:id="191"/>
          <w:p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  <w:p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\underbrace{\ell''\mathopen{}\left(\mathord{\smash[b]{\underset{\raise.3ex\hbox{$\scriptstyle\sim$}}{\beta}}\vphantom{\beta}}\right)\mathclose{}}_{2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\ell''\mathopen{}\left(\mathord{\smash[b]{\underset{\raise.3ex\hbox{$\scriptstyle\sim$}}{\beta}}\vphantom{\beta}}\right)\mathclose{}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  <w:p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3" w:name="fig-chronic-pears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chronic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pearson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r_pearson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(chronic,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residence,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pearson))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geom_jitter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height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"Residence"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"Pearson residual"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9-1.png" id="2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Pearson residuals from the Poisson model for the chronic medical conditions data,</w:t>
                  </w:r>
                  <w:r>
                    <w:t xml:space="preserve"> </w:t>
                  </w:r>
                  <w:r>
                    <w:t xml:space="preserve">by residence</w:t>
                  </w:r>
                </w:p>
                <w:bookmarkEnd w:id="213"/>
              </w:tc>
            </w:tr>
          </w:tbl>
          <w:bookmarkEnd w:id="214"/>
          <w:p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  <w:p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\stackrel{\text{def}}{=}\operatorname{E}\mathopen{}\left[Y \mid \mathord{\smash[b]{\underset{\raise.3ex\hbox{$\scriptstyle\sim$}}{X}}\vphantom{X}}= \mathord{\smash[b]{\underset{\raise.3ex\hbox{$\scriptstyle\sim$}}{x}}\vphantom{x}}\right]\mathclose{}$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glm-famil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Families and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log, inverse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cauchit, log, cloglog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inverse</w:t>
                  </w:r>
                  <w:r>
                    <w:t xml:space="preserve">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inverse.gaussian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1/mu^2</w:t>
                  </w:r>
                  <w:r>
                    <w:t xml:space="preserve">, inverse, identity, 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identity</w:t>
                  </w:r>
                  <w:r>
                    <w:t xml:space="preserve">, logit, probit,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logit</w:t>
                  </w:r>
                  <w:r>
                    <w:t xml:space="preserve">, probit, identity, cloglog, inverse, log, 1/mu^2 and sqrt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quasipoisson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log</w:t>
                  </w:r>
                  <w:r>
                    <w:t xml:space="preserve">, identity, logit, probit, cloglog, inverse, 1/mu^2 and sqrt</w:t>
                  </w:r>
                </w:p>
              </w:tc>
            </w:tr>
          </w:tbl>
          <w:bookmarkEnd w:id="227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glm-lin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Link functions available in R’s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, where</w:t>
            </w:r>
            <w:r>
              <w:t xml:space="preserve"> </w:t>
            </w:r>
            <w:r>
              <w:t xml:space="preserve">$\eta \stackrel{\text{def}}{=}\mathord{\smash[b]{\underset{\raise.3ex\hbox{$\scriptstyle\sim$}}{x}}\vphantom{x}}\cdot \mathord{\smash[b]{\underset{\raise.3ex\hbox{$\scriptstyle\sim$}}{\beta}}\vphantom{\beta}}= g(\mu)$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72"/>
              <w:gridCol w:w="1419"/>
              <w:gridCol w:w="1419"/>
              <w:gridCol w:w="2017"/>
              <w:gridCol w:w="23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 Link Function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inverse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cloglog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1/mu^2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η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μ</m:t>
                        </m:r>
                      </m:e>
                    </m:ra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2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  <w:p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2026-10-19T21:38:03Z</dcterms:created>
  <dcterms:modified xsi:type="dcterms:W3CDTF">2026-10-19T21:38:03Z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