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  <w:p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  <w:p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67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2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62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6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6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67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bookmarkEnd w:id="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[3, Ch. 2]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86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1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86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\stackrel{\text{def}}{=}\frac{{\lambda}(t|\mathord{\smash[b]{\underset{\raise.3ex\hbox{$\scriptstyle\sim$}}{x}}\vphantom{x}})}{{\lambda}(t|\mathord{{\mathord{\smash[b]{\underset{\raise.3ex\hbox{$\scriptstyle\sim$}}{x}}\vphantom{x}}^*}})}$$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123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127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131"/>
              </w:tc>
            </w:tr>
          </w:tbl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44"/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[9, Ch. 17], Section 17.2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  <w:p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  <w:p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[3, Ch. 3]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[6, Ch. 1]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[10]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99"/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2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202"/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  <w:p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Choose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  <w:p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8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218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2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2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222"/>
              </w:tc>
            </w:tr>
          </w:tbl>
          <w:bookmarkEnd w:id="223"/>
          <w:p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2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5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235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7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re-multiplying every factor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(km_prev),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km_factor_math,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(km_prev,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, km_factor_math)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32"/>
                    <w:gridCol w:w="498"/>
                    <w:gridCol w:w="498"/>
                    <w:gridCol w:w="498"/>
                    <w:gridCol w:w="498"/>
                    <w:gridCol w:w="498"/>
                    <w:gridCol w:w="609"/>
                    <w:gridCol w:w="1384"/>
                    <w:gridCol w:w="1384"/>
                    <w:gridCol w:w="171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0.8889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0.7778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0.6667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0.4167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37"/>
                <w:p/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[3, Sec. 4.2], eq. (4.2.2)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259"/>
              </w:tc>
            </w:tr>
          </w:tbl>
          <w:bookmarkEnd w:id="260"/>
          <w:p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  <w:p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  <w:p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[6, Sec. IV], pp. 67–68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[6, pp. 67–69]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[6, p. 68],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[6, pp. 69–70], two-group variance formula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[3, Ch. 7], [6, Ch. 2]</w:t>
            </w:r>
          </w:p>
          <w:bookmarkEnd w:id="3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0" w:name="tbl-logrank-han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Risk-set and failure counts for the hand-computed</w:t>
                  </w:r>
                  <w:r>
                    <w:t xml:space="preserve"> </w:t>
                  </w:r>
                  <w:hyperlink w:anchor="def-logrank-test">
                    <w:r>
                      <w:rPr>
                        <w:rStyle w:val="Hyperlink"/>
                      </w:rPr>
                      <w:t xml:space="preserve">log-rank test</w:t>
                    </w:r>
                  </w:hyperlink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i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330"/>
                <w:p/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  <w:p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[6, pp. 71–72] and Chapter 2 Appendix for the matrix</w:t>
      </w:r>
      <w:r>
        <w:t xml:space="preserve"> </w:t>
      </w:r>
      <w:r>
        <w:t xml:space="preserve">formula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[6, p. 70] (approximate formula)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13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341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2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342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[11]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8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3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3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[3]</w:t>
                  </w:r>
                  <w:r>
                    <w:t xml:space="preserve">)</w:t>
                  </w:r>
                </w:p>
                <w:bookmarkEnd w:id="348"/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9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359"/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5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365"/>
              </w:tc>
            </w:tr>
          </w:tbl>
          <w:bookmarkEnd w:id="366"/>
          <w:bookmarkEnd w:id="367"/>
          <w:p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re-adding every increment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(cusum_hazard_round),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(cusum_prev),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hazard_math,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(cusum_prev,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, hazard_math)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2"/>
                    <w:gridCol w:w="393"/>
                    <w:gridCol w:w="393"/>
                    <w:gridCol w:w="393"/>
                    <w:gridCol w:w="393"/>
                    <w:gridCol w:w="393"/>
                    <w:gridCol w:w="481"/>
                    <w:gridCol w:w="1093"/>
                    <w:gridCol w:w="1443"/>
                    <w:gridCol w:w="1443"/>
                    <w:gridCol w:w="122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0.1111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0.2361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0.379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0.7956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82"/>
                <w:p/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1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401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5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405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  <w:p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[5, Sec. 5.5.2]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413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[5, Sec. 5.5.2]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[13]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  <w:p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8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428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3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34"/>
    <w:bookmarkStart w:id="436" w:name="ref-statproofbook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435">
        <w:r>
          <w:rPr>
            <w:rStyle w:val="Hyperlink"/>
          </w:rPr>
          <w:t xml:space="preserve">https://doi.org/10.5281/ZENODO.4305949</w:t>
        </w:r>
      </w:hyperlink>
    </w:p>
    <w:bookmarkEnd w:id="436"/>
    <w:bookmarkStart w:id="438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37">
        <w:r>
          <w:rPr>
            <w:rStyle w:val="Hyperlink"/>
          </w:rPr>
          <w:t xml:space="preserve">https://link.springer.com/book/10.1007/b97377</w:t>
        </w:r>
      </w:hyperlink>
    </w:p>
    <w:bookmarkEnd w:id="438"/>
    <w:bookmarkStart w:id="440" w:name="ref-dobson4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</w:p>
    <w:bookmarkEnd w:id="440"/>
    <w:bookmarkStart w:id="442" w:name="ref-vittinghoff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41">
        <w:r>
          <w:rPr>
            <w:rStyle w:val="Hyperlink"/>
          </w:rPr>
          <w:t xml:space="preserve">https://doi.org/10.1007/978-1-4614-1353-0</w:t>
        </w:r>
      </w:hyperlink>
    </w:p>
    <w:bookmarkEnd w:id="442"/>
    <w:bookmarkStart w:id="444" w:name="ref-kleinbaum2012surviv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43">
        <w:r>
          <w:rPr>
            <w:rStyle w:val="Hyperlink"/>
          </w:rPr>
          <w:t xml:space="preserve">https://link.springer.com/book/10.1007/978-1-4419-6646-9</w:t>
        </w:r>
      </w:hyperlink>
    </w:p>
    <w:bookmarkEnd w:id="444"/>
    <w:bookmarkStart w:id="445" w:name="ref-me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445"/>
    <w:bookmarkStart w:id="446" w:name="ref-kalbfleisch2011statis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446"/>
    <w:bookmarkStart w:id="448" w:name="ref-hernan2020caus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447">
        <w:r>
          <w:rPr>
            <w:rStyle w:val="Hyperlink"/>
          </w:rPr>
          <w:t xml:space="preserve">https://www.hsph.harvard.edu/miguel-hernan/causal-inference-book/</w:t>
        </w:r>
      </w:hyperlink>
    </w:p>
    <w:bookmarkEnd w:id="448"/>
    <w:bookmarkStart w:id="449" w:name="ref-freireich1963effec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J. Freireich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effect of 6-mercaptopurine on the duration of steroid-induced remissions in acute leukemia,”</w:t>
      </w:r>
      <w:r>
        <w:t xml:space="preserve"> </w:t>
      </w:r>
      <w:r>
        <w:rPr>
          <w:i/>
          <w:iCs/>
        </w:rPr>
        <w:t xml:space="preserve">Blood</w:t>
      </w:r>
      <w:r>
        <w:t xml:space="preserve">, vol. 21, pp. 699–716, 1963.</w:t>
      </w:r>
    </w:p>
    <w:bookmarkEnd w:id="449"/>
    <w:bookmarkStart w:id="451" w:name="ref-copelan1991treatme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50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51"/>
    <w:bookmarkStart w:id="453" w:name="ref-debruyn2011mi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de Bruyn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trial,”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, vol. 87, no. 4, pp. 309–315, 2011, doi:</w:t>
      </w:r>
      <w:r>
        <w:t xml:space="preserve"> </w:t>
      </w:r>
      <w:hyperlink r:id="rId452">
        <w:r>
          <w:rPr>
            <w:rStyle w:val="Hyperlink"/>
          </w:rPr>
          <w:t xml:space="preserve">10.1136/sti.2010.044990</w:t>
        </w:r>
      </w:hyperlink>
      <w:r>
        <w:t xml:space="preserve">.</w:t>
      </w:r>
    </w:p>
    <w:bookmarkEnd w:id="453"/>
    <w:bookmarkStart w:id="455" w:name="ref-dickson1989prognosi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R. Dickson, P. M. Grambsch, T. R. Fleming, L. D. Fisher, and A. Langworthy,</w:t>
      </w:r>
      <w:r>
        <w:t xml:space="preserve"> </w:t>
      </w:r>
      <w:r>
        <w:t xml:space="preserve">“Prognosis in primary biliary cirrhosis: Model for decision making,”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vol. 10, no. 1, pp. 1–7, 1989, doi:</w:t>
      </w:r>
      <w:r>
        <w:t xml:space="preserve"> </w:t>
      </w:r>
      <w:hyperlink r:id="rId454">
        <w:r>
          <w:rPr>
            <w:rStyle w:val="Hyperlink"/>
          </w:rPr>
          <w:t xml:space="preserve">10.1002/hep.1840100102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[4]</w:t>
      </w:r>
      <w:r>
        <w:t xml:space="preserve">,</w:t>
      </w:r>
      <w:r>
        <w:t xml:space="preserve"> </w:t>
      </w:r>
      <w:r>
        <w:t xml:space="preserve">Vittinghoff et al. [5]</w:t>
      </w:r>
      <w:r>
        <w:t xml:space="preserve">,</w:t>
      </w:r>
      <w:r>
        <w:t xml:space="preserve"> </w:t>
      </w:r>
      <w:r>
        <w:t xml:space="preserve">Klein and Moeschberger [3]</w:t>
      </w:r>
      <w:r>
        <w:t xml:space="preserve">, and</w:t>
      </w:r>
      <w:r>
        <w:t xml:space="preserve"> </w:t>
      </w:r>
      <w:r>
        <w:t xml:space="preserve">Kleinbaum and Klein [6]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[7]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[8]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2026-10-19T21:43:14Z</dcterms:created>
  <dcterms:modified xsi:type="dcterms:W3CDTF">2026-10-19T21:43:14Z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