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5.png" ContentType="image/png"/>
  <Override PartName="/word/media/rId40.png" ContentType="image/png"/>
  <Override PartName="/word/media/rId45.png" ContentType="image/png"/>
  <Override PartName="/word/media/rId50.png" ContentType="image/png"/>
  <Override PartName="/word/media/rId55.png" ContentType="image/png"/>
  <Override PartName="/word/media/rId60.png" ContentType="image/png"/>
  <Override PartName="/word/media/rId65.png" ContentType="image/png"/>
  <Override PartName="/word/media/rId70.png" ContentType="image/png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19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15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r>
        <w:t xml:space="preserve">binomial</w:t>
      </w:r>
    </w:p>
    <w:p>
      <w:pPr>
        <w:pStyle w:val="Compact"/>
        <w:numPr>
          <w:ilvl w:val="1"/>
          <w:numId w:val="1002"/>
        </w:numPr>
      </w:pPr>
      <w:r>
        <w:t xml:space="preserve">Poisson</w:t>
      </w:r>
    </w:p>
    <w:p>
      <w:pPr>
        <w:pStyle w:val="Compact"/>
        <w:numPr>
          <w:ilvl w:val="1"/>
          <w:numId w:val="1002"/>
        </w:numPr>
      </w:pPr>
      <w:r>
        <w:t xml:space="preserve">Gaussian</w:t>
      </w:r>
    </w:p>
    <w:p>
      <w:pPr>
        <w:pStyle w:val="Compact"/>
        <w:numPr>
          <w:ilvl w:val="1"/>
          <w:numId w:val="1002"/>
        </w:numPr>
      </w:pPr>
      <w:r>
        <w:t xml:space="preserve">exponential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r>
        <w:t xml:space="preserve">Mean, median, mode, quantiles</w:t>
      </w:r>
    </w:p>
    <w:p>
      <w:pPr>
        <w:pStyle w:val="Compact"/>
        <w:numPr>
          <w:ilvl w:val="1"/>
          <w:numId w:val="1004"/>
        </w:numPr>
      </w:pPr>
      <w:r>
        <w:t xml:space="preserve">Variance, standard deviation, overdispersion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r>
        <w:t xml:space="preserve">independence, dependence, covariance, correlation</w:t>
      </w:r>
    </w:p>
    <w:p>
      <w:pPr>
        <w:pStyle w:val="Compact"/>
        <w:numPr>
          <w:ilvl w:val="1"/>
          <w:numId w:val="1006"/>
        </w:numPr>
      </w:pPr>
      <w:r>
        <w:t xml:space="preserve">ranks, order statistics</w:t>
      </w:r>
    </w:p>
    <w:p>
      <w:pPr>
        <w:pStyle w:val="Compact"/>
        <w:numPr>
          <w:ilvl w:val="1"/>
          <w:numId w:val="1006"/>
        </w:numPr>
      </w:pPr>
      <w:r>
        <w:t xml:space="preserve">identical 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r>
        <w:t xml:space="preserve">Central Limit Theorem for the mean of an iid sample</w:t>
      </w:r>
    </w:p>
    <w:bookmarkEnd w:id="15"/>
    <w:bookmarkStart w:id="16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 maximum likelihood inference framework:</w:t>
      </w:r>
    </w:p>
    <w:p>
      <w:pPr>
        <w:pStyle w:val="Compact"/>
        <w:numPr>
          <w:ilvl w:val="1"/>
          <w:numId w:val="1008"/>
        </w:numPr>
      </w:pPr>
      <w:r>
        <w:t xml:space="preserve">likelihood functions</w:t>
      </w:r>
    </w:p>
    <w:p>
      <w:pPr>
        <w:pStyle w:val="Compact"/>
        <w:numPr>
          <w:ilvl w:val="1"/>
          <w:numId w:val="1008"/>
        </w:numPr>
      </w:pPr>
      <w:r>
        <w:t xml:space="preserve">log-likelihood functions</w:t>
      </w:r>
    </w:p>
    <w:p>
      <w:pPr>
        <w:pStyle w:val="Compact"/>
        <w:numPr>
          <w:ilvl w:val="1"/>
          <w:numId w:val="1008"/>
        </w:numPr>
      </w:pPr>
      <w:r>
        <w:t xml:space="preserve">score functions</w:t>
      </w:r>
    </w:p>
    <w:p>
      <w:pPr>
        <w:pStyle w:val="Compact"/>
        <w:numPr>
          <w:ilvl w:val="1"/>
          <w:numId w:val="1008"/>
        </w:numPr>
      </w:pPr>
      <w:r>
        <w:t xml:space="preserve">estimating equations</w:t>
      </w:r>
    </w:p>
    <w:p>
      <w:pPr>
        <w:pStyle w:val="Compact"/>
        <w:numPr>
          <w:ilvl w:val="1"/>
          <w:numId w:val="1008"/>
        </w:numPr>
      </w:pPr>
      <w:r>
        <w:t xml:space="preserve">information matrices</w:t>
      </w:r>
    </w:p>
    <w:p>
      <w:pPr>
        <w:pStyle w:val="Compact"/>
        <w:numPr>
          <w:ilvl w:val="1"/>
          <w:numId w:val="1008"/>
        </w:numPr>
      </w:pPr>
      <w:r>
        <w:t xml:space="preserve">point estimates</w:t>
      </w:r>
    </w:p>
    <w:p>
      <w:pPr>
        <w:pStyle w:val="Compact"/>
        <w:numPr>
          <w:ilvl w:val="1"/>
          <w:numId w:val="1008"/>
        </w:numPr>
      </w:pPr>
      <w:r>
        <w:t xml:space="preserve">standard errors</w:t>
      </w:r>
    </w:p>
    <w:p>
      <w:pPr>
        <w:pStyle w:val="Compact"/>
        <w:numPr>
          <w:ilvl w:val="1"/>
          <w:numId w:val="1008"/>
        </w:numPr>
      </w:pPr>
      <w:r>
        <w:t xml:space="preserve">confidence intervals</w:t>
      </w:r>
    </w:p>
    <w:p>
      <w:pPr>
        <w:pStyle w:val="Compact"/>
        <w:numPr>
          <w:ilvl w:val="1"/>
          <w:numId w:val="1008"/>
        </w:numPr>
      </w:pPr>
      <w:r>
        <w:t xml:space="preserve">hypothesis tests</w:t>
      </w:r>
    </w:p>
    <w:p>
      <w:pPr>
        <w:pStyle w:val="Compact"/>
        <w:numPr>
          <w:ilvl w:val="1"/>
          <w:numId w:val="1008"/>
        </w:numPr>
      </w:pPr>
      <w:r>
        <w:t xml:space="preserve">p-values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r>
        <w:t xml:space="preserve">t-tests/ANOVA for Gaussian models</w:t>
      </w:r>
    </w:p>
    <w:p>
      <w:pPr>
        <w:pStyle w:val="Compact"/>
        <w:numPr>
          <w:ilvl w:val="1"/>
          <w:numId w:val="1010"/>
        </w:numPr>
      </w:pPr>
      <w:r>
        <w:t xml:space="preserve">chi-square tests 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r>
        <w:t xml:space="preserve">Fisher’s exact test for contingency tables</w:t>
      </w:r>
    </w:p>
    <w:p>
      <w:pPr>
        <w:pStyle w:val="Compact"/>
        <w:numPr>
          <w:ilvl w:val="2"/>
          <w:numId w:val="1011"/>
        </w:numPr>
      </w:pPr>
      <w:r>
        <w:t xml:space="preserve">Cochran–Mantel–Haenszel-Cox log-rank test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16"/>
    <w:bookmarkStart w:id="18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r>
        <w:t xml:space="preserve">regression diagnostics</w:t>
      </w:r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(2023)</w:t>
      </w:r>
    </w:p>
    <w:p>
      <w:pPr>
        <w:pStyle w:val="Compact"/>
        <w:numPr>
          <w:ilvl w:val="1"/>
          <w:numId w:val="1015"/>
        </w:numPr>
      </w:pPr>
      <w:r>
        <w:t xml:space="preserve">Dalgaard (2008)</w:t>
      </w:r>
    </w:p>
    <w:p>
      <w:pPr>
        <w:pStyle w:val="Compact"/>
        <w:numPr>
          <w:ilvl w:val="0"/>
          <w:numId w:val="1013"/>
        </w:numPr>
      </w:pPr>
      <w:hyperlink r:id="rId17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18"/>
    <w:bookmarkEnd w:id="19"/>
    <w:bookmarkStart w:id="22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p>
      <w:pPr>
        <w:pStyle w:val="BodyText"/>
      </w:pPr>
      <w:r>
        <w:t xml:space="preserve">The type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largely determines which regression model we use (</w:t>
      </w:r>
      <w:hyperlink w:anchor="tbl-outcome-type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outcome-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 types, examples, and the regression analyses that match them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diseased/not; died/survived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logistic 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infections per month; number of follow-up visits per patient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 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from exposure until disease onset; time from onset until recurrence; time from disease onset until disease progression; time from onset until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survival analysis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ordered levels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pain level (0 to 10 scale); approval rating (0 to 5 stars)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ordinal regression</w:t>
                  </w:r>
                </w:p>
              </w:tc>
            </w:tr>
          </w:tbl>
          <w:bookmarkEnd w:id="21"/>
          <w:p/>
        </w:tc>
      </w:tr>
    </w:tbl>
    <w:bookmarkEnd w:id="22"/>
    <w:bookmarkStart w:id="24" w:name="the-scientific-method-and-models"/>
    <w:p>
      <w:pPr>
        <w:pStyle w:val="Heading1"/>
      </w:pPr>
      <w:r>
        <w:t xml:space="preserve">5. The scientific method and models</w:t>
      </w:r>
    </w:p>
    <w:p>
      <w:pPr>
        <w:pStyle w:val="FirstParagraph"/>
      </w:pPr>
      <w:r>
        <w:t xml:space="preserve">As scientists, we attempt to answer factual questions about the world and universe</w:t>
      </w:r>
      <w:r>
        <w:t xml:space="preserve"> </w:t>
      </w:r>
      <w:r>
        <w:t xml:space="preserve">in the past, present, and/or future.</w:t>
      </w:r>
      <w:r>
        <w:t xml:space="preserve"> </w:t>
      </w:r>
      <w:r>
        <w:t xml:space="preserve">In this course, we follow the steps of the</w:t>
      </w:r>
      <w:r>
        <w:t xml:space="preserve"> </w:t>
      </w:r>
      <w:hyperlink r:id="rId23">
        <w:r>
          <w:rPr>
            <w:rStyle w:val="Hyperlink"/>
          </w:rPr>
          <w:t xml:space="preserve">scientific method</w:t>
        </w:r>
      </w:hyperlink>
      <w:r>
        <w:t xml:space="preserve">,</w:t>
      </w:r>
      <w:r>
        <w:t xml:space="preserve"> </w:t>
      </w:r>
      <w:r>
        <w:t xml:space="preserve">with a statistical model standing in for the hypothesis:</w:t>
      </w:r>
    </w:p>
    <w:p>
      <w:pPr>
        <w:pStyle w:val="Compact"/>
        <w:numPr>
          <w:ilvl w:val="0"/>
          <w:numId w:val="1019"/>
        </w:numPr>
      </w:pPr>
      <w:r>
        <w:t xml:space="preserve">conceive a question</w:t>
      </w:r>
    </w:p>
    <w:p>
      <w:pPr>
        <w:pStyle w:val="Compact"/>
        <w:numPr>
          <w:ilvl w:val="0"/>
          <w:numId w:val="1019"/>
        </w:numPr>
      </w:pPr>
      <w:r>
        <w:t xml:space="preserve">hypothesize a specific version of that model</w:t>
      </w:r>
    </w:p>
    <w:p>
      <w:pPr>
        <w:pStyle w:val="Compact"/>
        <w:numPr>
          <w:ilvl w:val="0"/>
          <w:numId w:val="1019"/>
        </w:numPr>
      </w:pPr>
      <w:r>
        <w:t xml:space="preserve">propose a study design that would provide data relevant to the model</w:t>
      </w:r>
    </w:p>
    <w:p>
      <w:pPr>
        <w:pStyle w:val="Compact"/>
        <w:numPr>
          <w:ilvl w:val="0"/>
          <w:numId w:val="1019"/>
        </w:numPr>
      </w:pPr>
      <w:r>
        <w:t xml:space="preserve">analyze the data</w:t>
      </w:r>
    </w:p>
    <w:p>
      <w:pPr>
        <w:pStyle w:val="Compact"/>
        <w:numPr>
          <w:ilvl w:val="0"/>
          <w:numId w:val="1019"/>
        </w:numPr>
      </w:pPr>
      <w:r>
        <w:t xml:space="preserve">estimate model parameters</w:t>
      </w:r>
    </w:p>
    <w:p>
      <w:pPr>
        <w:pStyle w:val="Compact"/>
        <w:numPr>
          <w:ilvl w:val="0"/>
          <w:numId w:val="1019"/>
        </w:numPr>
      </w:pPr>
      <w:r>
        <w:t xml:space="preserve">“inference”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quantify uncertainty</w:t>
      </w:r>
    </w:p>
    <w:p>
      <w:pPr>
        <w:pStyle w:val="Compact"/>
        <w:numPr>
          <w:ilvl w:val="1"/>
          <w:numId w:val="1020"/>
        </w:numPr>
      </w:pPr>
      <w:r>
        <w:t xml:space="preserve">draw conclusions</w:t>
      </w:r>
    </w:p>
    <w:p>
      <w:pPr>
        <w:pStyle w:val="FirstParagraph"/>
      </w:pPr>
      <w:r>
        <w:t xml:space="preserve">Regression models are the family of models we use for these steps.</w:t>
      </w:r>
    </w:p>
    <w:bookmarkEnd w:id="24"/>
    <w:bookmarkStart w:id="80" w:name="motivations-for-regression-models"/>
    <w:p>
      <w:pPr>
        <w:pStyle w:val="Heading1"/>
      </w:pPr>
      <w:r>
        <w:t xml:space="preserve">6.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especially when subgroups are defined using continuous predictors</w:t>
            </w:r>
          </w:p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Start w:id="34" w:name="uses-of-regression-models"/>
    <w:p>
      <w:pPr>
        <w:pStyle w:val="Heading2"/>
      </w:pPr>
      <w:r>
        <w:t xml:space="preserve">6.1 Uses of regression models</w:t>
      </w:r>
    </w:p>
    <w:p>
      <w:pPr>
        <w:pStyle w:val="FirstParagraph"/>
      </w:pPr>
      <w:r>
        <w:t xml:space="preserve">Vittinghoff et al. (2012, sec. 1.3)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(2014, sec. 4.1)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28" w:name="relating-the-two-lists"/>
    <w:p>
      <w:pPr>
        <w:pStyle w:val="Heading3"/>
      </w:pPr>
      <w:r>
        <w:t xml:space="preserve">6.1.1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Comparing the categorizations of regression model uses in</w:t>
            </w:r>
            <w:r>
              <w:t xml:space="preserve"> </w:t>
            </w:r>
            <w:r>
              <w:t xml:space="preserve">Vittinghoff et al. (2012, sec. 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(2014, sec. 4.1)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(2012)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(2014)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 confounding,</w:t>
      </w:r>
      <w:r>
        <w:t xml:space="preserve"> </w:t>
      </w:r>
      <w:r>
        <w:t xml:space="preserve">mediation, and the causal structure of the data.</w:t>
      </w:r>
    </w:p>
    <w:bookmarkEnd w:id="28"/>
    <w:bookmarkStart w:id="33" w:name="sec-pred-inf-causal"/>
    <w:p>
      <w:pPr>
        <w:pStyle w:val="Heading3"/>
      </w:pPr>
      <w:r>
        <w:t xml:space="preserve">6.1.2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(James et al. 2021, chap. 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29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r>
        <w:rPr>
          <w:b/>
          <w:bCs/>
        </w:rPr>
        <w:t xml:space="preserve">Statistical inference</w:t>
      </w:r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(James et al. 2021, chap. 2)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 confidence interval quantifying uncertainty about the magnitude of that association.</w:t>
            </w:r>
          </w:p>
          <w:bookmarkEnd w:id="30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(Vittinghoff et al. 2012, chap. 12)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31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potential outcomes framework</w:t>
      </w:r>
      <w:r>
        <w:t xml:space="preserve"> </w:t>
      </w:r>
      <w:r>
        <w:t xml:space="preserve">(Neyman 1990; Rubin 1974, 688–701; Vittinghoff et al. 2012, chap. 12)</w:t>
      </w:r>
      <w:r>
        <w:t xml:space="preserve">,</w:t>
      </w:r>
      <w:r>
        <w:t xml:space="preserve"> </w:t>
      </w:r>
      <w:r>
        <w:t xml:space="preserve">individual causal effects 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r>
        <w:rPr>
          <w:b/>
          <w:bCs/>
        </w:rPr>
        <w:t xml:space="preserve">confounding</w:t>
      </w:r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(2021, chap. 2)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12)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(2020, pt. I)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32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33"/>
    <w:bookmarkEnd w:id="34"/>
    <w:bookmarkStart w:id="39" w:name="example-adelie-penguins"/>
    <w:p>
      <w:pPr>
        <w:pStyle w:val="Heading2"/>
      </w:pPr>
      <w:r>
        <w:t xml:space="preserve">6.2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38"/>
        </w:tc>
      </w:tr>
    </w:tbl>
    <w:bookmarkEnd w:id="39"/>
    <w:bookmarkStart w:id="44" w:name="linear-regression"/>
    <w:p>
      <w:pPr>
        <w:pStyle w:val="Heading2"/>
      </w:pPr>
      <w:r>
        <w:t xml:space="preserve">6.3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43"/>
        </w:tc>
      </w:tr>
    </w:tbl>
    <w:bookmarkEnd w:id="44"/>
    <w:bookmarkStart w:id="49" w:name="curved-regression-lines"/>
    <w:p>
      <w:pPr>
        <w:pStyle w:val="Heading2"/>
      </w:pPr>
      <w:r>
        <w:t xml:space="preserve">6.4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48"/>
        </w:tc>
      </w:tr>
    </w:tbl>
    <w:bookmarkEnd w:id="49"/>
    <w:bookmarkStart w:id="54" w:name="multiple-regression"/>
    <w:p>
      <w:pPr>
        <w:pStyle w:val="Heading2"/>
      </w:pPr>
      <w:r>
        <w:t xml:space="preserve">6.5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53"/>
        </w:tc>
      </w:tr>
    </w:tbl>
    <w:bookmarkEnd w:id="54"/>
    <w:bookmarkStart w:id="59" w:name="modeling-non-gaussian-outcomes"/>
    <w:p>
      <w:pPr>
        <w:pStyle w:val="Heading2"/>
      </w:pPr>
      <w:r>
        <w:t xml:space="preserve">6.6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xlab(bquote(log[10]), bquote(CS[2])) 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</w:t>
            </w:r>
          </w:p>
          <w:bookmarkEnd w:id="58"/>
        </w:tc>
      </w:tr>
    </w:tbl>
    <w:bookmarkEnd w:id="59"/>
    <w:bookmarkStart w:id="64" w:name="why-dont-we-use-linear-regression"/>
    <w:p>
      <w:pPr>
        <w:pStyle w:val="Heading2"/>
      </w:pPr>
      <w:r>
        <w:t xml:space="preserve">6.7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63"/>
        </w:tc>
      </w:tr>
    </w:tbl>
    <w:bookmarkEnd w:id="64"/>
    <w:bookmarkStart w:id="69" w:name="zoom-out"/>
    <w:p>
      <w:pPr>
        <w:pStyle w:val="Heading2"/>
      </w:pPr>
      <w:r>
        <w:t xml:space="preserve">6.8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68"/>
        </w:tc>
      </w:tr>
    </w:tbl>
    <w:bookmarkEnd w:id="69"/>
    <w:bookmarkStart w:id="74" w:name="log-transformation-of-dose"/>
    <w:p>
      <w:pPr>
        <w:pStyle w:val="Heading2"/>
      </w:pPr>
      <w:r>
        <w:t xml:space="preserve">6.9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73"/>
        </w:tc>
      </w:tr>
    </w:tbl>
    <w:bookmarkEnd w:id="74"/>
    <w:bookmarkStart w:id="79" w:name="logistic-regression"/>
    <w:p>
      <w:pPr>
        <w:pStyle w:val="Heading2"/>
      </w:pPr>
      <w:r>
        <w:t xml:space="preserve">6.10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78"/>
        </w:tc>
      </w:tr>
    </w:tbl>
    <w:bookmarkEnd w:id="79"/>
    <w:bookmarkEnd w:id="80"/>
    <w:bookmarkStart w:id="93" w:name="structure-of-regression-models"/>
    <w:p>
      <w:pPr>
        <w:pStyle w:val="Heading1"/>
      </w:pPr>
      <w:r>
        <w:t xml:space="preserve">7.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8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(Outcome)</w:t>
            </w:r>
            <w:r>
              <w:t xml:space="preserve"> </w:t>
            </w:r>
            <w:r>
              <w:t xml:space="preserve">The outcome variable 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The outcome variable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(Predictors)</w:t>
            </w:r>
            <w:r>
              <w:t xml:space="preserve"> </w:t>
            </w:r>
            <w:r>
              <w:t xml:space="preserve">The predictor variables 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85"/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pairings of terms for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8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β</m:t>
              </m:r>
            </m:oMath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Binomial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identity: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logit: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inverse:</w:t>
            </w:r>
            <w:r>
              <w:t xml:space="preserve"> </w:t>
            </w:r>
            <m:oMath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clog-log: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(2018)</w:t>
            </w:r>
            <w:r>
              <w:t xml:space="preserve">).</w:t>
            </w:r>
          </w:p>
          <w:bookmarkEnd w:id="92"/>
          <w:p/>
        </w:tc>
      </w:tr>
    </w:tbl>
    <w:bookmarkEnd w:id="93"/>
    <w:bookmarkStart w:id="98" w:name="sec-why-link"/>
    <w:p>
      <w:pPr>
        <w:pStyle w:val="Heading1"/>
      </w:pPr>
      <w:r>
        <w:t xml:space="preserve">8. Why link functions?</w:t>
      </w:r>
    </w:p>
    <w:p>
      <w:pPr>
        <w:pStyle w:val="FirstParagraph"/>
      </w:pPr>
      <w:r>
        <w:t xml:space="preserve">So far, we have seen models for Gaussian distributions that vary across subpopulations,</w:t>
      </w:r>
      <w:r>
        <w:t xml:space="preserve"> </w:t>
      </w:r>
      <w:r>
        <w:t xml:space="preserve">and distributions for single populations.</w:t>
      </w:r>
      <w:r>
        <w:t xml:space="preserve"> </w:t>
      </w:r>
      <w:r>
        <w:t xml:space="preserve">A GLM combines the two:</w:t>
      </w:r>
      <w:r>
        <w:t xml:space="preserve"> </w:t>
      </w:r>
      <w:r>
        <w:t xml:space="preserve">it describes how a non-Gaussian distribution varies across subpopulations.</w:t>
      </w:r>
      <w:r>
        <w:t xml:space="preserve"> </w:t>
      </w:r>
      <w:r>
        <w:t xml:space="preserve">The link function is the piece that makes this work.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exr-why-link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Suppose the outcome is a count or a binary variable.</w:t>
            </w:r>
            <w:r>
              <w:t xml:space="preserve"> </w:t>
            </w:r>
            <w:r>
              <w:t xml:space="preserve">Why not model the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 the covariates, as in a Gaussian model?</w:t>
            </w:r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sol-why-link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A straight line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leave the range of the outcome:</w:t>
            </w:r>
            <w:r>
              <w:t xml:space="preserve"> </w:t>
            </w:r>
            <w:r>
              <w:t xml:space="preserve">it can predict a negative count, or a probability below 0 or above 1.</w:t>
            </w:r>
            <w:r>
              <w:t xml:space="preserve"> </w:t>
            </w:r>
            <w:r>
              <w:t xml:space="preserve">We could try to repair this by transforming each covariate separately</w:t>
            </w:r>
            <w:r>
              <w:t xml:space="preserve"> </w:t>
            </w:r>
            <w:r>
              <w:t xml:space="preserve">and adding interaction terms until the fitted curve stays in range,</w:t>
            </w:r>
            <w:r>
              <w:t xml:space="preserve"> </w:t>
            </w:r>
            <w:r>
              <w:t xml:space="preserve">but that is hard to get right.</w:t>
            </w:r>
          </w:p>
          <w:p>
            <w:pPr>
              <w:pStyle w:val="BodyText"/>
            </w:pPr>
            <w:r>
              <w:t xml:space="preserve">The link function offers a simpler route.</w:t>
            </w:r>
            <w:r>
              <w:t xml:space="preserve"> </w:t>
            </w:r>
            <w:r>
              <w:t xml:space="preserve">We add all the covariate terms together first, to get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then transform once, with the 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link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relates the mean to the linear predictor:</w:t>
            </w:r>
            <w:r>
              <w:t xml:space="preserve"> </w:t>
            </w:r>
            <m:oMath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to both sides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Choosing the inverse link guarantees the model structure we want: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with the log link,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 a mean count is never negative;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with the logit link,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probability is never below 0 or above 1.</w:t>
            </w:r>
          </w:p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rem-link-slope-interpret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(Slopes under a non-identity link). </w:t>
            </w:r>
            <w:r>
              <w:t xml:space="preserve">With a non-identity link, interpreting a slope gets harder.</w:t>
            </w:r>
            <w:r>
              <w:t xml:space="preserve"> </w:t>
            </w:r>
            <w:r>
              <w:t xml:space="preserve">A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change in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without any interaction terms,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depends on the values of the other covariates,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not linear.</w:t>
            </w:r>
          </w:p>
          <w:bookmarkEnd w:id="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link-slope-numeric"/>
          <w:p>
            <w:pPr>
              <w:pStyle w:val="BodyText"/>
            </w:pPr>
            <w:r>
              <w:rPr>
                <w:b/>
                <w:bCs/>
              </w:rPr>
              <w:t xml:space="preserve">Example 4 (A logistic model with no interaction)</w:t>
            </w:r>
            <w:r>
              <w:t xml:space="preserve"> </w:t>
            </w:r>
            <w:r>
              <w:t xml:space="preserve">Suppose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of a binary outcome, which is its probability,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1.5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coefficient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same 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odds ratio for 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 the change in probability for the same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risk_diff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(z)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rd0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rd1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probability rises by 0.15;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it rises by 0.245.</w:t>
            </w:r>
            <w:r>
              <w:t xml:space="preserve"> </w:t>
            </w:r>
            <w:r>
              <w:t xml:space="preserve">The odds ratio is the same in both subgroups, but the difference in probabilities is not.</w:t>
            </w:r>
          </w:p>
          <w:bookmarkEnd w:id="97"/>
          <w:p/>
        </w:tc>
      </w:tr>
    </w:tbl>
    <w:bookmarkEnd w:id="98"/>
    <w:bookmarkStart w:id="101" w:name="sec-canonical-link"/>
    <w:p>
      <w:pPr>
        <w:pStyle w:val="Heading1"/>
      </w:pPr>
      <w:r>
        <w:t xml:space="preserve">9. Canonical links</w:t>
      </w:r>
    </w:p>
    <w:p>
      <w:pPr>
        <w:pStyle w:val="FirstParagraph"/>
      </w:pPr>
      <w:r>
        <w:t xml:space="preserve">The link functions listed in the structure of a GLM are not all on the same footing.</w:t>
      </w:r>
      <w:r>
        <w:t xml:space="preserve"> </w:t>
      </w:r>
      <w:r>
        <w:t xml:space="preserve">For each outcome distribution, the form of its density singles out one link.</w:t>
      </w:r>
      <w:r>
        <w:t xml:space="preserve"> </w:t>
      </w:r>
      <w:r>
        <w:t xml:space="preserve">To say which, we need the density’s</w:t>
      </w:r>
      <w:r>
        <w:t xml:space="preserve"> </w:t>
      </w:r>
      <w:r>
        <w:rPr>
          <w:i/>
          <w:iCs/>
        </w:rPr>
        <w:t xml:space="preserve">natural parameter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9" w:name="def-natural-parameter"/>
          <w:p>
            <w:pPr>
              <w:pStyle w:val="BodyText"/>
            </w:pPr>
            <w:r>
              <w:rPr>
                <w:b/>
                <w:bCs/>
              </w:rPr>
              <w:t xml:space="preserve">Definition 4 (Exponential dispersion family, natural parameter, and canonical link)</w:t>
            </w:r>
            <w:r>
              <w:t xml:space="preserve"> </w:t>
            </w:r>
            <w:r>
              <w:t xml:space="preserve">A distribution belongs to the</w:t>
            </w:r>
            <w:r>
              <w:t xml:space="preserve"> </w:t>
            </w:r>
            <w:r>
              <w:rPr>
                <w:b/>
                <w:bCs/>
              </w:rPr>
              <w:t xml:space="preserve">exponential dispersion family</w:t>
            </w:r>
            <w:r>
              <w:t xml:space="preserve"> </w:t>
            </w:r>
            <w:r>
              <w:t xml:space="preserve">if its density (or probability mass function)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θ</m:t>
                </m:r>
                <m:r>
                  <m:rPr>
                    <m:sty m:val="p"/>
                  </m:rPr>
                  <m:t>,</m:t>
                </m:r>
                <m:r>
                  <m:t>ϕ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 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some functions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natural parameter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dispersion parameter</w:t>
            </w:r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μ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 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 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variance function</w:t>
            </w:r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canonical link</w:t>
            </w:r>
            <w:r>
              <w:t xml:space="preserve"> </w:t>
            </w:r>
            <w:r>
              <w:t xml:space="preserve">is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sets the linear predictor equal to the natural parameter: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θ</m:t>
              </m:r>
            </m:oMath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exm-canonical-link-numeric"/>
          <w:p>
            <w:pPr>
              <w:pStyle w:val="BodyText"/>
            </w:pPr>
            <w:r>
              <w:rPr>
                <w:b/>
                <w:bCs/>
              </w:rPr>
              <w:t xml:space="preserve">Example 5 (Natural parameters of a Poisson and a Bernoulli outcome)</w:t>
            </w:r>
            <w:r>
              <w:t xml:space="preserve"> </w:t>
            </w:r>
            <w:r>
              <w:t xml:space="preserve">For a Poisson outcome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Bernoulli outcome with success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code below checks both forms against R’s built-in densities,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computes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Bernoulli case.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theta_pois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(mu)</w:t>
            </w:r>
            <w:r>
              <w:br/>
            </w:r>
            <w:r>
              <w:rPr>
                <w:rStyle w:val="NormalTok"/>
              </w:rPr>
              <w:t xml:space="preserve">y_pois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pois_exp_form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(y_pois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theta_pois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(theta_pois)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lgamma</w:t>
            </w:r>
            <w:r>
              <w:rPr>
                <w:rStyle w:val="NormalTok"/>
              </w:rPr>
              <w:t xml:space="preserve">(y_pois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pois_check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(pois_exp_form,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(y_pois, mu)))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br/>
            </w:r>
            <w:r>
              <w:rPr>
                <w:rStyle w:val="NormalTok"/>
              </w:rPr>
              <w:t xml:space="preserve">theta_bern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qlogis</w:t>
            </w:r>
            <w:r>
              <w:rPr>
                <w:rStyle w:val="NormalTok"/>
              </w:rPr>
              <w:t xml:space="preserve">(pi_bern)</w:t>
            </w:r>
            <w:r>
              <w:br/>
            </w:r>
            <w:r>
              <w:rPr>
                <w:rStyle w:val="NormalTok"/>
              </w:rPr>
              <w:t xml:space="preserve">y_bern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bern_exp_form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(y_bern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theta_bern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(theta_bern)))</w:t>
            </w:r>
            <w:r>
              <w:br/>
            </w:r>
            <w:r>
              <w:rPr>
                <w:rStyle w:val="NormalTok"/>
              </w:rPr>
              <w:t xml:space="preserve">bern_check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(bern_exp_form, 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(y_bern,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pi_bern)))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b1_bern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(theta_bern)</w:t>
            </w:r>
            <w:r>
              <w:br/>
            </w:r>
            <w:r>
              <w:rPr>
                <w:rStyle w:val="NormalTok"/>
              </w:rPr>
              <w:t xml:space="preserve">b2_bern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b1_bern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b1_bern)</w:t>
            </w:r>
          </w:p>
          <w:p>
            <w:pPr>
              <w:numPr>
                <w:ilvl w:val="0"/>
                <w:numId w:val="1031"/>
              </w:numPr>
            </w:pPr>
            <w:r>
              <w:t xml:space="preserve">For the Poisson distribution 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0.224,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dpois(2, 3)</w:t>
            </w:r>
            <w:r>
              <w:t xml:space="preserve">: TRUE.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3,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1"/>
              </w:numPr>
            </w:pPr>
            <w:r>
              <w:t xml:space="preserve">For the Bernoulli distribution 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-1.0986,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0.25,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dbinom(1, 1, 0.25)</w:t>
            </w:r>
            <w:r>
              <w:t xml:space="preserve">: TRUE.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0.25,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0.1875,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Consequently, the canonical link for the Poisson distribution is the log link,</w:t>
            </w:r>
            <w:r>
              <w:t xml:space="preserve"> </w:t>
            </w:r>
            <w:r>
              <w:t xml:space="preserve">and the canonical link for the Bernoulli distribution is the logit link.</w:t>
            </w:r>
          </w:p>
          <w:bookmarkEnd w:id="100"/>
          <w:p/>
        </w:tc>
      </w:tr>
    </w:tbl>
    <w:p>
      <w:r>
        <w:pict>
          <v:rect style="width:0;height:1.5pt" o:hralign="center" o:hrstd="t" o:hr="t"/>
        </w:pict>
      </w:r>
    </w:p>
    <w:bookmarkEnd w:id="101"/>
    <w:bookmarkStart w:id="105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6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1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exr-prac-canonical-link"/>
          <w:p>
            <w:pPr>
              <w:pStyle w:val="BodyText"/>
            </w:pPr>
            <w:r>
              <w:rPr>
                <w:b/>
                <w:bCs/>
              </w:rPr>
              <w:t xml:space="preserve">Exercise 7 (Canonical link functions)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3,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canonical link</w:t>
            </w:r>
            <w:r>
              <w:t xml:space="preserve"> </w:t>
            </w:r>
            <w:r>
              <w:t xml:space="preserve">for a distribution in the exponential family</w:t>
            </w:r>
            <w:r>
              <w:t xml:space="preserve"> </w:t>
            </w:r>
            <w:r>
              <w:t xml:space="preserve">is the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 natural parameter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Canonical links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For each listed distribution,</w:t>
            </w:r>
            <w:r>
              <w:t xml:space="preserve"> </w:t>
            </w:r>
            <w:r>
              <w:t xml:space="preserve">state the canonical link function</w:t>
            </w:r>
            <w:r>
              <w:t xml:space="preserve"> </w:t>
            </w:r>
            <w:r>
              <w:t xml:space="preserve">and the corresponding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 </w:t>
            </w:r>
            <w:r>
              <w:t xml:space="preserve">is the dispersion parameter: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ϕ</m:t>
              </m:r>
            </m:oMath>
          </w:p>
          <w:bookmarkEnd w:id="1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Canonical link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function</w:t>
                  </w:r>
                  <w:r>
                    <w:t xml:space="preserve"> </w:t>
                  </w: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(a) 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(b) 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(logit)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(c) Normal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(identity)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(d) Gamma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(inverse)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Notes:</w:t>
            </w:r>
          </w:p>
          <w:p>
            <w:pPr>
              <w:numPr>
                <w:ilvl w:val="0"/>
                <w:numId w:val="1035"/>
              </w:numPr>
            </w:pPr>
            <w:r>
              <w:t xml:space="preserve">For the Poisson distribution,</w:t>
            </w:r>
            <w:r>
              <w:t xml:space="preserve"> </w:t>
            </w:r>
            <w:r>
              <w:t xml:space="preserve">the variance equals the mean.</w:t>
            </w:r>
            <w:r>
              <w:t xml:space="preserve"> </w:t>
            </w:r>
            <w:r>
              <w:t xml:space="preserve">Overdispersion occurs when the empirical variance exceeds the mean.</w:t>
            </w:r>
          </w:p>
          <w:p>
            <w:pPr>
              <w:numPr>
                <w:ilvl w:val="0"/>
                <w:numId w:val="1035"/>
              </w:numPr>
            </w:pPr>
            <w:r>
              <w:t xml:space="preserve">For the Bernoulli distribution,</w:t>
            </w:r>
            <w:r>
              <w:t xml:space="preserve"> </w:t>
            </w:r>
            <w:r>
              <w:t xml:space="preserve">the variance is maximized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t xml:space="preserve">For the Normal distribution,</w:t>
            </w:r>
            <w:r>
              <w:t xml:space="preserve"> </w:t>
            </w:r>
            <w:r>
              <w:t xml:space="preserve">the variance does not depend on the mean;</w:t>
            </w:r>
            <w:r>
              <w:t xml:space="preserve"> </w:t>
            </w:r>
            <w:r>
              <w:t xml:space="preserve">the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t xml:space="preserve">For the Gamma distribution,</w:t>
            </w:r>
            <w:r>
              <w:t xml:space="preserve"> </w:t>
            </w:r>
            <w:r>
              <w:t xml:space="preserve">the coefficient of variation</w:t>
            </w:r>
            <w:r>
              <w:t xml:space="preserve"> </w:t>
            </w:r>
            <m:oMath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constant.</w:t>
            </w:r>
          </w:p>
          <w:p>
            <w:pPr>
              <w:numPr>
                <w:ilvl w:val="0"/>
                <w:numId w:val="1035"/>
              </w:numPr>
            </w:pPr>
            <w:r>
              <w:t xml:space="preserve">The sign of the Gamma canonical link is a convention: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in the density’s natural parameterization,</w:t>
            </w:r>
            <w:r>
              <w:t xml:space="preserve"> </w:t>
            </w:r>
            <w:r>
              <w:t xml:space="preserve">while R’s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family uses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as its default inverse link.</w:t>
            </w:r>
            <w:r>
              <w:t xml:space="preserve"> </w:t>
            </w:r>
            <w:r>
              <w:t xml:space="preserve">Either way, the linear predictor can produce a negative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log link (not the canonical inverse link) is often used for Gamma regression in practice,</w:t>
            </w:r>
            <w:r>
              <w:t xml:space="preserve"> </w:t>
            </w:r>
            <w:r>
              <w:t xml:space="preserve">because it ensures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gives interpretable multiplicative effects.</w:t>
            </w:r>
          </w:p>
          <w:p/>
        </w:tc>
      </w:tr>
    </w:tbl>
    <w:bookmarkEnd w:id="105"/>
    <w:bookmarkStart w:id="127" w:name="references"/>
    <w:p>
      <w:pPr>
        <w:pStyle w:val="Heading1"/>
      </w:pPr>
      <w:r>
        <w:t xml:space="preserve">References</w:t>
      </w:r>
    </w:p>
    <w:bookmarkStart w:id="126" w:name="refs"/>
    <w:bookmarkStart w:id="107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07"/>
    <w:bookmarkStart w:id="10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9"/>
    <w:bookmarkStart w:id="111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0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11"/>
    <w:bookmarkStart w:id="113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2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113"/>
    <w:bookmarkStart w:id="11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5"/>
    <w:bookmarkStart w:id="117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16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17"/>
    <w:bookmarkStart w:id="119" w:name="ref-neyman1923application"/>
    <w:p>
      <w:pPr>
        <w:pStyle w:val="Bibliography"/>
      </w:pPr>
      <w:r>
        <w:t xml:space="preserve">Neyman, Jerzy. 1990.</w:t>
      </w:r>
      <w:r>
        <w:t xml:space="preserve"> </w:t>
      </w:r>
      <w:r>
        <w:t xml:space="preserve">“On the Application of Probability Theory to Agricultural Experiments. Essay on Principles. Section 9.”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5 (4): 465–72.</w:t>
      </w:r>
      <w:r>
        <w:t xml:space="preserve"> </w:t>
      </w:r>
      <w:hyperlink r:id="rId118">
        <w:r>
          <w:rPr>
            <w:rStyle w:val="Hyperlink"/>
          </w:rPr>
          <w:t xml:space="preserve">https://doi.org/10.1214/ss/1177012031</w:t>
        </w:r>
      </w:hyperlink>
      <w:r>
        <w:t xml:space="preserve">.</w:t>
      </w:r>
    </w:p>
    <w:bookmarkEnd w:id="119"/>
    <w:bookmarkStart w:id="121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20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21"/>
    <w:bookmarkStart w:id="12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2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23"/>
    <w:bookmarkStart w:id="125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</w:t>
      </w:r>
      <w:r>
        <w:t xml:space="preserve"> </w:t>
      </w:r>
      <w:hyperlink r:id="rId12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Time permitting.</w:t>
      </w:r>
    </w:p>
  </w:footnote>
  <w:footnote w:id="8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indicates 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86">
        <w:r>
          <w:rPr>
            <w:rStyle w:val="Hyperlink"/>
          </w:rPr>
          <w:t xml:space="preserve">the notation page of the lab’s math notes</w:t>
        </w:r>
      </w:hyperlink>
      <w:r>
        <w:t xml:space="preserve"> </w:t>
      </w:r>
      <w:r>
        <w:t xml:space="preserve">for a table of notation used in these notes.</w:t>
      </w:r>
    </w:p>
  </w:footnote>
  <w:footnote w:id="8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89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45" Target="media/rId45.png" /><Relationship Type="http://schemas.openxmlformats.org/officeDocument/2006/relationships/image" Id="rId50" Target="media/rId50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5" Target="media/rId65.png" /><Relationship Type="http://schemas.openxmlformats.org/officeDocument/2006/relationships/image" Id="rId70" Target="media/rId70.png" /><Relationship Type="http://schemas.openxmlformats.org/officeDocument/2006/relationships/image" Id="rId75" Target="media/rId75.png" /><Relationship Type="http://schemas.openxmlformats.org/officeDocument/2006/relationships/hyperlink" Id="rId103" Target="Intro-to-GLMs.qmd#sec-canonical-link" TargetMode="External" /><Relationship Type="http://schemas.openxmlformats.org/officeDocument/2006/relationships/hyperlink" Id="rId32" Target="causal-inference.qmd" TargetMode="External" /><Relationship Type="http://schemas.openxmlformats.org/officeDocument/2006/relationships/hyperlink" Id="rId114" Target="https://doi.org/10.1007/978-1-0716-1418-1" TargetMode="External" /><Relationship Type="http://schemas.openxmlformats.org/officeDocument/2006/relationships/hyperlink" Id="rId122" Target="https://doi.org/10.1007/978-1-4614-1353-0" TargetMode="External" /><Relationship Type="http://schemas.openxmlformats.org/officeDocument/2006/relationships/hyperlink" Id="rId120" Target="https://doi.org/10.1037/h0037350" TargetMode="External" /><Relationship Type="http://schemas.openxmlformats.org/officeDocument/2006/relationships/hyperlink" Id="rId108" Target="https://doi.org/10.1201/9781315182780" TargetMode="External" /><Relationship Type="http://schemas.openxmlformats.org/officeDocument/2006/relationships/hyperlink" Id="rId118" Target="https://doi.org/10.1214/ss/1177012031" TargetMode="External" /><Relationship Type="http://schemas.openxmlformats.org/officeDocument/2006/relationships/hyperlink" Id="rId89" Target="https://en.wikipedia.org/wiki/Dependent_and_independent_variables#Synonyms" TargetMode="External" /><Relationship Type="http://schemas.openxmlformats.org/officeDocument/2006/relationships/hyperlink" Id="rId23" Target="https://en.wikipedia.org/wiki/Scientific_method" TargetMode="External" /><Relationship Type="http://schemas.openxmlformats.org/officeDocument/2006/relationships/hyperlink" Id="rId106" Target="https://link.springer.com/book/10.1007/978-0-387-79054-1" TargetMode="External" /><Relationship Type="http://schemas.openxmlformats.org/officeDocument/2006/relationships/hyperlink" Id="rId110" Target="https://link.springer.com/book/10.1007/978-1-4419-0118-7" TargetMode="External" /><Relationship Type="http://schemas.openxmlformats.org/officeDocument/2006/relationships/hyperlink" Id="rId86" Target="https://morrison-lab.github.io/mds/notation.html" TargetMode="External" /><Relationship Type="http://schemas.openxmlformats.org/officeDocument/2006/relationships/hyperlink" Id="rId124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16" Target="https://www.cengage.com/c/applied-regression-analysis-and-other-multivariable-methods-5e-kleinbaum/9781285051086/" TargetMode="External" /><Relationship Type="http://schemas.openxmlformats.org/officeDocument/2006/relationships/hyperlink" Id="rId112" Target="https://www.hsph.harvard.edu/miguel-hernan/causal-inference-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Intro-to-GLMs.qmd#sec-canonical-link" TargetMode="External" /><Relationship Type="http://schemas.openxmlformats.org/officeDocument/2006/relationships/hyperlink" Id="rId32" Target="causal-inference.qmd" TargetMode="External" /><Relationship Type="http://schemas.openxmlformats.org/officeDocument/2006/relationships/hyperlink" Id="rId114" Target="https://doi.org/10.1007/978-1-0716-1418-1" TargetMode="External" /><Relationship Type="http://schemas.openxmlformats.org/officeDocument/2006/relationships/hyperlink" Id="rId122" Target="https://doi.org/10.1007/978-1-4614-1353-0" TargetMode="External" /><Relationship Type="http://schemas.openxmlformats.org/officeDocument/2006/relationships/hyperlink" Id="rId120" Target="https://doi.org/10.1037/h0037350" TargetMode="External" /><Relationship Type="http://schemas.openxmlformats.org/officeDocument/2006/relationships/hyperlink" Id="rId108" Target="https://doi.org/10.1201/9781315182780" TargetMode="External" /><Relationship Type="http://schemas.openxmlformats.org/officeDocument/2006/relationships/hyperlink" Id="rId118" Target="https://doi.org/10.1214/ss/1177012031" TargetMode="External" /><Relationship Type="http://schemas.openxmlformats.org/officeDocument/2006/relationships/hyperlink" Id="rId89" Target="https://en.wikipedia.org/wiki/Dependent_and_independent_variables#Synonyms" TargetMode="External" /><Relationship Type="http://schemas.openxmlformats.org/officeDocument/2006/relationships/hyperlink" Id="rId23" Target="https://en.wikipedia.org/wiki/Scientific_method" TargetMode="External" /><Relationship Type="http://schemas.openxmlformats.org/officeDocument/2006/relationships/hyperlink" Id="rId106" Target="https://link.springer.com/book/10.1007/978-0-387-79054-1" TargetMode="External" /><Relationship Type="http://schemas.openxmlformats.org/officeDocument/2006/relationships/hyperlink" Id="rId110" Target="https://link.springer.com/book/10.1007/978-1-4419-0118-7" TargetMode="External" /><Relationship Type="http://schemas.openxmlformats.org/officeDocument/2006/relationships/hyperlink" Id="rId86" Target="https://morrison-lab.github.io/mds/notation.html" TargetMode="External" /><Relationship Type="http://schemas.openxmlformats.org/officeDocument/2006/relationships/hyperlink" Id="rId124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16" Target="https://www.cengage.com/c/applied-regression-analysis-and-other-multivariable-methods-5e-kleinbaum/9781285051086/" TargetMode="External" /><Relationship Type="http://schemas.openxmlformats.org/officeDocument/2006/relationships/hyperlink" Id="rId112" Target="https://www.hsph.harvard.edu/miguel-hernan/causal-inference-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2026-10-12T03:31:51Z</dcterms:created>
  <dcterms:modified xsi:type="dcterms:W3CDTF">2026-10-12T03:31:51Z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