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78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98.png" ContentType="image/png"/>
  <Override PartName="/word/media/rId103.png" ContentType="image/png"/>
  <Override PartName="/word/media/rId108.png" ContentType="image/png"/>
  <Override PartName="/word/media/rId113.png" ContentType="image/png"/>
  <Override PartName="/word/media/rId118.png" ContentType="image/png"/>
  <Override PartName="/word/media/rId2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52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30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binomial</w:t>
        </w:r>
      </w:hyperlink>
    </w:p>
    <w:p>
      <w:pPr>
        <w:pStyle w:val="Compact"/>
        <w:numPr>
          <w:ilvl w:val="1"/>
          <w:numId w:val="1002"/>
        </w:numPr>
      </w:pPr>
      <w:hyperlink r:id="rId16">
        <w:r>
          <w:rPr>
            <w:rStyle w:val="Hyperlink"/>
          </w:rPr>
          <w:t xml:space="preserve">Poisson</w:t>
        </w:r>
      </w:hyperlink>
    </w:p>
    <w:p>
      <w:pPr>
        <w:pStyle w:val="Compact"/>
        <w:numPr>
          <w:ilvl w:val="1"/>
          <w:numId w:val="1002"/>
        </w:numPr>
      </w:pPr>
      <w:hyperlink r:id="rId17">
        <w:r>
          <w:rPr>
            <w:rStyle w:val="Hyperlink"/>
          </w:rPr>
          <w:t xml:space="preserve">Gaussian</w:t>
        </w:r>
      </w:hyperlink>
    </w:p>
    <w:p>
      <w:pPr>
        <w:pStyle w:val="Compact"/>
        <w:numPr>
          <w:ilvl w:val="1"/>
          <w:numId w:val="1002"/>
        </w:numPr>
      </w:pPr>
      <w:hyperlink r:id="rId18">
        <w:r>
          <w:rPr>
            <w:rStyle w:val="Hyperlink"/>
          </w:rPr>
          <w:t xml:space="preserve">exponential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hyperlink r:id="rId19">
        <w:r>
          <w:rPr>
            <w:rStyle w:val="Hyperlink"/>
          </w:rPr>
          <w:t xml:space="preserve">Mean</w:t>
        </w:r>
      </w:hyperlink>
      <w:r>
        <w:t xml:space="preserve">, median, mode,</w:t>
      </w:r>
      <w:r>
        <w:t xml:space="preserve"> </w:t>
      </w:r>
      <w:hyperlink r:id="rId20">
        <w:r>
          <w:rPr>
            <w:rStyle w:val="Hyperlink"/>
          </w:rPr>
          <w:t xml:space="preserve">quantiles</w:t>
        </w:r>
      </w:hyperlink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hyperlink r:id="rId24">
        <w:r>
          <w:rPr>
            <w:rStyle w:val="Hyperlink"/>
          </w:rPr>
          <w:t xml:space="preserve">independence</w:t>
        </w:r>
      </w:hyperlink>
      <w:r>
        <w:t xml:space="preserve">, dependence,</w:t>
      </w:r>
      <w:r>
        <w:t xml:space="preserve"> </w:t>
      </w:r>
      <w:hyperlink r:id="rId25">
        <w:r>
          <w:rPr>
            <w:rStyle w:val="Hyperlink"/>
          </w:rPr>
          <w:t xml:space="preserve">covariance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correlation</w:t>
        </w:r>
      </w:hyperlink>
    </w:p>
    <w:p>
      <w:pPr>
        <w:pStyle w:val="Compact"/>
        <w:numPr>
          <w:ilvl w:val="1"/>
          <w:numId w:val="1006"/>
        </w:numPr>
      </w:pPr>
      <w:r>
        <w:t xml:space="preserve">ranks,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</w:p>
    <w:p>
      <w:pPr>
        <w:pStyle w:val="Compact"/>
        <w:numPr>
          <w:ilvl w:val="1"/>
          <w:numId w:val="1006"/>
        </w:numPr>
      </w:pPr>
      <w:hyperlink r:id="rId28">
        <w:r>
          <w:rPr>
            <w:rStyle w:val="Hyperlink"/>
          </w:rPr>
          <w:t xml:space="preserve">identical</w:t>
        </w:r>
      </w:hyperlink>
      <w:r>
        <w:t xml:space="preserve"> </w:t>
      </w:r>
      <w:r>
        <w:t xml:space="preserve">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Hyperlink"/>
          </w:rPr>
          <w:t xml:space="preserve">Central Limit Theorem</w:t>
        </w:r>
      </w:hyperlink>
      <w:r>
        <w:t xml:space="preserve"> </w:t>
      </w:r>
      <w:r>
        <w:t xml:space="preserve">for the mean of an iid sample</w:t>
      </w:r>
    </w:p>
    <w:bookmarkEnd w:id="30"/>
    <w:bookmarkStart w:id="48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inference framework:</w:t>
      </w:r>
    </w:p>
    <w:p>
      <w:pPr>
        <w:pStyle w:val="Compact"/>
        <w:numPr>
          <w:ilvl w:val="1"/>
          <w:numId w:val="1008"/>
        </w:numPr>
      </w:pPr>
      <w:hyperlink r:id="rId32">
        <w:r>
          <w:rPr>
            <w:rStyle w:val="Hyperlink"/>
          </w:rPr>
          <w:t xml:space="preserve">likelihood functions</w:t>
        </w:r>
      </w:hyperlink>
    </w:p>
    <w:p>
      <w:pPr>
        <w:pStyle w:val="Compact"/>
        <w:numPr>
          <w:ilvl w:val="1"/>
          <w:numId w:val="1008"/>
        </w:numPr>
      </w:pPr>
      <w:hyperlink r:id="rId33">
        <w:r>
          <w:rPr>
            <w:rStyle w:val="Hyperlink"/>
          </w:rPr>
          <w:t xml:space="preserve">log-likelihood functions</w:t>
        </w:r>
      </w:hyperlink>
    </w:p>
    <w:p>
      <w:pPr>
        <w:pStyle w:val="Compact"/>
        <w:numPr>
          <w:ilvl w:val="1"/>
          <w:numId w:val="1008"/>
        </w:numPr>
      </w:pPr>
      <w:hyperlink r:id="rId34">
        <w:r>
          <w:rPr>
            <w:rStyle w:val="Hyperlink"/>
          </w:rPr>
          <w:t xml:space="preserve">score functions</w:t>
        </w:r>
      </w:hyperlink>
    </w:p>
    <w:p>
      <w:pPr>
        <w:pStyle w:val="Compact"/>
        <w:numPr>
          <w:ilvl w:val="1"/>
          <w:numId w:val="1008"/>
        </w:numPr>
      </w:pPr>
      <w:hyperlink r:id="rId35">
        <w:r>
          <w:rPr>
            <w:rStyle w:val="Hyperlink"/>
          </w:rPr>
          <w:t xml:space="preserve">estimating equations</w:t>
        </w:r>
      </w:hyperlink>
    </w:p>
    <w:p>
      <w:pPr>
        <w:pStyle w:val="Compact"/>
        <w:numPr>
          <w:ilvl w:val="1"/>
          <w:numId w:val="1008"/>
        </w:numPr>
      </w:pPr>
      <w:hyperlink r:id="rId36">
        <w:r>
          <w:rPr>
            <w:rStyle w:val="Hyperlink"/>
          </w:rPr>
          <w:t xml:space="preserve">information matrices</w:t>
        </w:r>
      </w:hyperlink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Hyperlink"/>
          </w:rPr>
          <w:t xml:space="preserve">point estimates</w:t>
        </w:r>
      </w:hyperlink>
    </w:p>
    <w:p>
      <w:pPr>
        <w:pStyle w:val="Compact"/>
        <w:numPr>
          <w:ilvl w:val="1"/>
          <w:numId w:val="1008"/>
        </w:numPr>
      </w:pPr>
      <w:hyperlink r:id="rId38">
        <w:r>
          <w:rPr>
            <w:rStyle w:val="Hyperlink"/>
          </w:rPr>
          <w:t xml:space="preserve">standard errors</w:t>
        </w:r>
      </w:hyperlink>
    </w:p>
    <w:p>
      <w:pPr>
        <w:pStyle w:val="Compact"/>
        <w:numPr>
          <w:ilvl w:val="1"/>
          <w:numId w:val="1008"/>
        </w:numPr>
      </w:pPr>
      <w:hyperlink r:id="rId39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1"/>
          <w:numId w:val="1008"/>
        </w:numPr>
      </w:pPr>
      <w:hyperlink r:id="rId40">
        <w:r>
          <w:rPr>
            <w:rStyle w:val="Hyperlink"/>
          </w:rPr>
          <w:t xml:space="preserve">hypothesis tests</w:t>
        </w:r>
      </w:hyperlink>
    </w:p>
    <w:p>
      <w:pPr>
        <w:pStyle w:val="Compact"/>
        <w:numPr>
          <w:ilvl w:val="1"/>
          <w:numId w:val="1008"/>
        </w:numPr>
      </w:pPr>
      <w:hyperlink r:id="rId41">
        <w:r>
          <w:rPr>
            <w:rStyle w:val="Hyperlink"/>
          </w:rPr>
          <w:t xml:space="preserve">p-values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hyperlink r:id="rId42">
        <w:r>
          <w:rPr>
            <w:rStyle w:val="Hyperlink"/>
          </w:rPr>
          <w:t xml:space="preserve">t-tests</w:t>
        </w:r>
      </w:hyperlink>
      <w:r>
        <w:t xml:space="preserve">/</w:t>
      </w:r>
      <w:hyperlink r:id="rId43">
        <w:r>
          <w:rPr>
            <w:rStyle w:val="Hyperlink"/>
          </w:rPr>
          <w:t xml:space="preserve">ANOVA</w:t>
        </w:r>
      </w:hyperlink>
      <w:r>
        <w:t xml:space="preserve"> </w:t>
      </w:r>
      <w:r>
        <w:t xml:space="preserve">for Gaussian models</w:t>
      </w:r>
    </w:p>
    <w:p>
      <w:pPr>
        <w:pStyle w:val="Compact"/>
        <w:numPr>
          <w:ilvl w:val="1"/>
          <w:numId w:val="1010"/>
        </w:numPr>
      </w:pPr>
      <w:hyperlink r:id="rId44">
        <w:r>
          <w:rPr>
            <w:rStyle w:val="Hyperlink"/>
          </w:rPr>
          <w:t xml:space="preserve">chi-square tests</w:t>
        </w:r>
      </w:hyperlink>
      <w:r>
        <w:t xml:space="preserve"> </w:t>
      </w:r>
      <w:r>
        <w:t xml:space="preserve">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hyperlink r:id="rId45">
        <w:r>
          <w:rPr>
            <w:rStyle w:val="Hyperlink"/>
          </w:rPr>
          <w:t xml:space="preserve">Fisher’s exact test</w:t>
        </w:r>
      </w:hyperlink>
      <w:r>
        <w:t xml:space="preserve"> </w:t>
      </w:r>
      <w:r>
        <w:t xml:space="preserve">for</w:t>
      </w:r>
      <w:r>
        <w:t xml:space="preserve"> </w:t>
      </w:r>
      <w:hyperlink r:id="rId46">
        <w:r>
          <w:rPr>
            <w:rStyle w:val="Hyperlink"/>
          </w:rPr>
          <w:t xml:space="preserve">contingency tables</w:t>
        </w:r>
      </w:hyperlink>
    </w:p>
    <w:p>
      <w:pPr>
        <w:pStyle w:val="Compact"/>
        <w:numPr>
          <w:ilvl w:val="2"/>
          <w:numId w:val="1011"/>
        </w:numPr>
      </w:pPr>
      <w:r>
        <w:t xml:space="preserve">Cochran–Mantel–Haenszel-Cox</w:t>
      </w:r>
      <w:r>
        <w:t xml:space="preserve"> </w:t>
      </w:r>
      <w:hyperlink r:id="rId47">
        <w:r>
          <w:rPr>
            <w:rStyle w:val="Hyperlink"/>
          </w:rPr>
          <w:t xml:space="preserve">log-rank test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48"/>
    <w:bookmarkStart w:id="51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regression diagnostics</w:t>
        </w:r>
      </w:hyperlink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[1]</w:t>
      </w:r>
    </w:p>
    <w:p>
      <w:pPr>
        <w:pStyle w:val="Compact"/>
        <w:numPr>
          <w:ilvl w:val="1"/>
          <w:numId w:val="1015"/>
        </w:numPr>
      </w:pPr>
      <w:r>
        <w:t xml:space="preserve">Dalgaard [2]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51"/>
    <w:bookmarkEnd w:id="52"/>
    <w:bookmarkStart w:id="59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p>
      <w:pPr>
        <w:pStyle w:val="BodyText"/>
      </w:pPr>
      <w:r>
        <w:t xml:space="preserve">The type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largely determines which regression model we use (</w:t>
      </w:r>
      <w:hyperlink w:anchor="tbl-outcome-type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" w:name="tbl-outcome-typ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Outcome types, examples, and the regression analyses that match them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Examples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Analysis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3">
                          <w:r>
                            <w:rPr>
                              <w:rStyle w:val="Hyperlink"/>
                            </w:rPr>
                            <w:t xml:space="preserve">binary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diseased/not; died/survived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4">
                          <w:r>
                            <w:rPr>
                              <w:rStyle w:val="Hyperlink"/>
                            </w:rPr>
                            <w:t xml:space="preserve">logistic regression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5">
                          <w:r>
                            <w:rPr>
                              <w:rStyle w:val="Hyperlink"/>
                            </w:rPr>
                            <w:t xml:space="preserve">count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infections per month; number of follow-up visits per patient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Poisson regression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time to 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time from exposure until disease onset; time from onset until recurrence; time from disease onset until disease progression; time from onset until death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survival analysis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6">
                          <w:r>
                            <w:rPr>
                              <w:rStyle w:val="Hyperlink"/>
                            </w:rPr>
                            <w:t xml:space="preserve">ordered levels</w:t>
                          </w:r>
                        </w:hyperlink>
                        <w:r>
                          <w:rPr>
                            <w:rStyle w:val="FootnoteReference"/>
                          </w:rPr>
                          <w:footnoteReference w:id="57"/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pain level (0 to 10 scale); approval rating (0 to 5 stars)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ordinal regression</w:t>
                        </w:r>
                      </w:p>
                    </w:tc>
                  </w:tr>
                </w:tbl>
                <w:bookmarkEnd w:id="58"/>
                <w:p/>
              </w:tc>
            </w:tr>
          </w:tbl>
        </w:tc>
      </w:tr>
    </w:tbl>
    <w:bookmarkEnd w:id="59"/>
    <w:bookmarkStart w:id="61" w:name="the-scientific-method-and-models"/>
    <w:p>
      <w:pPr>
        <w:pStyle w:val="Heading1"/>
      </w:pPr>
      <w:r>
        <w:t xml:space="preserve">5. The scientific method and models</w:t>
      </w:r>
    </w:p>
    <w:p>
      <w:pPr>
        <w:pStyle w:val="FirstParagraph"/>
      </w:pPr>
      <w:r>
        <w:t xml:space="preserve">As scientists, we attempt to answer factual questions about the world and universe</w:t>
      </w:r>
      <w:r>
        <w:t xml:space="preserve"> </w:t>
      </w:r>
      <w:r>
        <w:t xml:space="preserve">in the past, present, and/or future.</w:t>
      </w:r>
      <w:r>
        <w:t xml:space="preserve"> </w:t>
      </w:r>
      <w:r>
        <w:t xml:space="preserve">In this course, we follow the steps of the</w:t>
      </w:r>
      <w:r>
        <w:t xml:space="preserve"> </w:t>
      </w:r>
      <w:hyperlink r:id="rId60">
        <w:r>
          <w:rPr>
            <w:rStyle w:val="Hyperlink"/>
          </w:rPr>
          <w:t xml:space="preserve">scientific method</w:t>
        </w:r>
      </w:hyperlink>
      <w:r>
        <w:t xml:space="preserve">,</w:t>
      </w:r>
      <w:r>
        <w:t xml:space="preserve"> </w:t>
      </w:r>
      <w:r>
        <w:t xml:space="preserve">with a statistical model standing in for the hypothesis:</w:t>
      </w:r>
    </w:p>
    <w:p>
      <w:pPr>
        <w:pStyle w:val="Compact"/>
        <w:numPr>
          <w:ilvl w:val="0"/>
          <w:numId w:val="1019"/>
        </w:numPr>
      </w:pPr>
      <w:r>
        <w:t xml:space="preserve">conceive a question</w:t>
      </w:r>
    </w:p>
    <w:p>
      <w:pPr>
        <w:pStyle w:val="Compact"/>
        <w:numPr>
          <w:ilvl w:val="0"/>
          <w:numId w:val="1019"/>
        </w:numPr>
      </w:pPr>
      <w:r>
        <w:t xml:space="preserve">hypothesize a specific version of that model</w:t>
      </w:r>
    </w:p>
    <w:p>
      <w:pPr>
        <w:pStyle w:val="Compact"/>
        <w:numPr>
          <w:ilvl w:val="0"/>
          <w:numId w:val="1019"/>
        </w:numPr>
      </w:pPr>
      <w:r>
        <w:t xml:space="preserve">propose a study design that would provide data relevant to the model</w:t>
      </w:r>
    </w:p>
    <w:p>
      <w:pPr>
        <w:pStyle w:val="Compact"/>
        <w:numPr>
          <w:ilvl w:val="0"/>
          <w:numId w:val="1019"/>
        </w:numPr>
      </w:pPr>
      <w:r>
        <w:t xml:space="preserve">analyze the data</w:t>
      </w:r>
    </w:p>
    <w:p>
      <w:pPr>
        <w:pStyle w:val="Compact"/>
        <w:numPr>
          <w:ilvl w:val="0"/>
          <w:numId w:val="1019"/>
        </w:numPr>
      </w:pPr>
      <w:r>
        <w:t xml:space="preserve">estimate model parameters</w:t>
      </w:r>
    </w:p>
    <w:p>
      <w:pPr>
        <w:pStyle w:val="Compact"/>
        <w:numPr>
          <w:ilvl w:val="0"/>
          <w:numId w:val="1019"/>
        </w:numPr>
      </w:pPr>
      <w:r>
        <w:t xml:space="preserve">“inference”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quantify uncertainty</w:t>
      </w:r>
    </w:p>
    <w:p>
      <w:pPr>
        <w:pStyle w:val="Compact"/>
        <w:numPr>
          <w:ilvl w:val="1"/>
          <w:numId w:val="1020"/>
        </w:numPr>
      </w:pPr>
      <w:r>
        <w:t xml:space="preserve">draw conclusions</w:t>
      </w:r>
    </w:p>
    <w:p>
      <w:pPr>
        <w:pStyle w:val="FirstParagraph"/>
      </w:pPr>
      <w:r>
        <w:t xml:space="preserve">Regression models are the family of models we use for these steps.</w:t>
      </w:r>
    </w:p>
    <w:bookmarkEnd w:id="61"/>
    <w:bookmarkStart w:id="123" w:name="motivations-for-regression-models"/>
    <w:p>
      <w:pPr>
        <w:pStyle w:val="Heading1"/>
      </w:pPr>
      <w:r>
        <w:t xml:space="preserve">6.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especially when subgroups are defined using continuous predictors</w:t>
            </w:r>
          </w:p>
          <w:bookmarkEnd w:id="63"/>
          <w:p/>
        </w:tc>
      </w:tr>
    </w:tbl>
    <w:p>
      <w:r>
        <w:pict>
          <v:rect style="width:0;height:1.5pt" o:hralign="center" o:hrstd="t" o:hr="t"/>
        </w:pict>
      </w:r>
    </w:p>
    <w:bookmarkStart w:id="77" w:name="uses-of-regression-models"/>
    <w:p>
      <w:pPr>
        <w:pStyle w:val="Heading2"/>
      </w:pPr>
      <w:r>
        <w:t xml:space="preserve">6.1 Uses of regression models</w:t>
      </w:r>
    </w:p>
    <w:p>
      <w:pPr>
        <w:pStyle w:val="FirstParagraph"/>
      </w:pPr>
      <w:r>
        <w:t xml:space="preserve">Vittinghoff et al. [3, Sec. 1.3]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[4, Sec. 4.1]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68" w:name="relating-the-two-lists"/>
    <w:p>
      <w:pPr>
        <w:pStyle w:val="Heading3"/>
      </w:pPr>
      <w:r>
        <w:t xml:space="preserve">6.1.1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tbl-regression-uses-compari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Comparing the categorizations of regression model uses in</w:t>
                  </w:r>
                  <w:r>
                    <w:t xml:space="preserve"> </w:t>
                  </w:r>
                  <w:r>
                    <w:t xml:space="preserve">Vittinghoff et al. [3, Sec. 1.3]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r>
                    <w:t xml:space="preserve">Kleinbaum et al. [4, Sec. 4.1]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Vittinghoff et al. [3]</w:t>
                        </w:r>
                        <w:r>
                          <w:t xml:space="preserve"> </w:t>
                        </w:r>
                        <w:r>
                          <w:t xml:space="preserve">category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Kleinbaum et al. [4]</w:t>
                        </w:r>
                        <w:r>
                          <w:t xml:space="preserve"> </w:t>
                        </w:r>
                        <w:r>
                          <w:t xml:space="preserve">application(s)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2 (prediction)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Isolating the Effect of a Single Predictor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8 (adjusted coefficient estimation)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Understanding Multiple Predictors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      </w:r>
                      </w:p>
                    </w:tc>
                  </w:tr>
                </w:tbl>
                <w:bookmarkEnd w:id="64"/>
                <w:p/>
              </w:tc>
            </w:tr>
          </w:tbl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hyperlink r:id="rId65">
        <w:r>
          <w:rPr>
            <w:rStyle w:val="Hyperlink"/>
            <w:b/>
            <w:bCs/>
          </w:rPr>
          <w:t xml:space="preserve">causal inference</w:t>
        </w:r>
      </w:hyperlink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</w:t>
      </w:r>
      <w:r>
        <w:t xml:space="preserve"> </w:t>
      </w:r>
      <w:hyperlink r:id="rId6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mediation</w:t>
        </w:r>
      </w:hyperlink>
      <w:r>
        <w:t xml:space="preserve">, and the causal structure of the data.</w:t>
      </w:r>
    </w:p>
    <w:bookmarkEnd w:id="68"/>
    <w:bookmarkStart w:id="76" w:name="sec-pred-inf-causal"/>
    <w:p>
      <w:pPr>
        <w:pStyle w:val="Heading3"/>
      </w:pPr>
      <w:r>
        <w:t xml:space="preserve">6.1.2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prediction</w:t>
        </w:r>
      </w:hyperlink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[5, Ch. 2]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70"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hyperlink r:id="rId71">
        <w:r>
          <w:rPr>
            <w:rStyle w:val="Hyperlink"/>
            <w:b/>
            <w:bCs/>
          </w:rPr>
          <w:t xml:space="preserve">Statistical inference</w:t>
        </w:r>
      </w:hyperlink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[5, Ch. 2]</w:t>
      </w:r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quantifying uncertainty about the magnitude of that association.</w:t>
            </w:r>
          </w:p>
          <w:bookmarkEnd w:id="72"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[3, Ch. 12]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73"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potential outcomes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framework</w:t>
      </w:r>
      <w:r>
        <w:t xml:space="preserve"> </w:t>
      </w:r>
      <w:r>
        <w:t xml:space="preserve">[3, Ch. 12], [6], [7, pp. 688–701]</w:t>
      </w:r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hyperlink r:id="rId66">
        <w:r>
          <w:rPr>
            <w:rStyle w:val="Hyperlink"/>
            <w:b/>
            <w:bCs/>
          </w:rPr>
          <w:t xml:space="preserve">confounding</w:t>
        </w:r>
      </w:hyperlink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[5, Ch. 2]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[3, Ch. 12]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[8, Pt. I]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65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76"/>
    <w:bookmarkEnd w:id="77"/>
    <w:bookmarkStart w:id="82" w:name="example-adelie-penguins"/>
    <w:p>
      <w:pPr>
        <w:pStyle w:val="Heading2"/>
      </w:pPr>
      <w:r>
        <w:t xml:space="preserve">6.2 Example: Adelie penguins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" w:name="fig-palmer-1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1-1.pn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Palmer penguins</w:t>
                  </w:r>
                </w:p>
                <w:bookmarkEnd w:id="81"/>
              </w:tc>
            </w:tr>
          </w:tbl>
        </w:tc>
      </w:tr>
    </w:tbl>
    <w:bookmarkEnd w:id="82"/>
    <w:bookmarkStart w:id="87" w:name="linear-regression"/>
    <w:p>
      <w:pPr>
        <w:pStyle w:val="Heading2"/>
      </w:pPr>
      <w:r>
        <w:t xml:space="preserve">6.3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6" w:name="fig-palmer-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2-1.png" id="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Palmer penguins with linear regression fit</w:t>
                  </w:r>
                </w:p>
                <w:bookmarkEnd w:id="86"/>
              </w:tc>
            </w:tr>
          </w:tbl>
        </w:tc>
      </w:tr>
    </w:tbl>
    <w:bookmarkEnd w:id="87"/>
    <w:bookmarkStart w:id="92" w:name="curved-regression-lines"/>
    <w:p>
      <w:pPr>
        <w:pStyle w:val="Heading2"/>
      </w:pPr>
      <w:r>
        <w:t xml:space="preserve">6.4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palmer-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3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Palmer penguins - curved regression lines</w:t>
                  </w:r>
                </w:p>
                <w:bookmarkEnd w:id="91"/>
              </w:tc>
            </w:tr>
          </w:tbl>
        </w:tc>
      </w:tr>
    </w:tbl>
    <w:bookmarkEnd w:id="92"/>
    <w:bookmarkStart w:id="97" w:name="multiple-regression"/>
    <w:p>
      <w:pPr>
        <w:pStyle w:val="Heading2"/>
      </w:pPr>
      <w:r>
        <w:t xml:space="preserve">6.5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6" w:name="fig-palmer-4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4-1.png" id="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Palmer penguins - multiple groups</w:t>
                  </w:r>
                </w:p>
                <w:bookmarkEnd w:id="96"/>
              </w:tc>
            </w:tr>
          </w:tbl>
        </w:tc>
      </w:tr>
    </w:tbl>
    <w:bookmarkEnd w:id="97"/>
    <w:bookmarkStart w:id="102" w:name="modeling-non-gaussian-outcomes"/>
    <w:p>
      <w:pPr>
        <w:pStyle w:val="Heading2"/>
      </w:pPr>
      <w:r>
        <w:t xml:space="preserve">6.6 Modeling non-Gaussian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fig-beetles_1a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dose,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pct))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"Dose of CS2 (mg/L)"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"Mortality rate (%)"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scales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percent)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(plot1)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1-1.png" id="1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Mortality rates of adult flour beetles after five hours’ exposure to gaseous carbon disulphide (Bliss 1935).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column holds the base-10 logarithm of the dose in mg/L,</w:t>
                  </w:r>
                  <w:r>
                    <w:t xml:space="preserve"> </w:t>
                  </w:r>
                  <w:r>
                    <w:t xml:space="preserve">and the models use it as is;</w:t>
                  </w:r>
                  <w:r>
                    <w:t xml:space="preserve"> </w:t>
                  </w:r>
                  <w:r>
                    <w:t xml:space="preserve">the figures show the dose itself, in mg/L, on a log-spaced axis.</w:t>
                  </w:r>
                </w:p>
                <w:bookmarkEnd w:id="101"/>
              </w:tc>
            </w:tr>
          </w:tbl>
        </w:tc>
      </w:tr>
    </w:tbl>
    <w:bookmarkEnd w:id="102"/>
    <w:bookmarkStart w:id="107" w:name="why-dont-we-use-linear-regression"/>
    <w:p>
      <w:pPr>
        <w:pStyle w:val="Heading2"/>
      </w:pPr>
      <w:r>
        <w:t xml:space="preserve">6.7 Why don’t we use linear regression?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6" w:name="fig-beetles-plot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(lm1,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"Straight line"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"Model"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2-1.png" id="1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Mortality rates of adult flour beetles after five hours’ exposure to</w:t>
                  </w:r>
                  <w:r>
                    <w:t xml:space="preserve"> </w:t>
                  </w:r>
                  <w:r>
                    <w:t xml:space="preserve">gaseous carbon disulphide (Bliss 1935)</w:t>
                  </w:r>
                </w:p>
                <w:bookmarkEnd w:id="106"/>
              </w:tc>
            </w:tr>
          </w:tbl>
        </w:tc>
      </w:tr>
    </w:tbl>
    <w:bookmarkEnd w:id="107"/>
    <w:bookmarkStart w:id="112" w:name="zoom-out"/>
    <w:p>
      <w:pPr>
        <w:pStyle w:val="Heading2"/>
      </w:pPr>
      <w:r>
        <w:t xml:space="preserve">6.8 Zoom out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beetles2"/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3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Mortality rates of adult flour beetles after five hours’ exposure to</w:t>
                  </w:r>
                  <w:r>
                    <w:t xml:space="preserve"> </w:t>
                  </w:r>
                  <w:r>
                    <w:t xml:space="preserve">gaseous carbon disulphide (Bliss 1935)</w:t>
                  </w:r>
                </w:p>
                <w:bookmarkEnd w:id="111"/>
              </w:tc>
            </w:tr>
          </w:tbl>
        </w:tc>
      </w:tr>
    </w:tbl>
    <w:bookmarkEnd w:id="112"/>
    <w:bookmarkStart w:id="117" w:name="log-transformation-of-dose"/>
    <w:p>
      <w:pPr>
        <w:pStyle w:val="Heading2"/>
      </w:pPr>
      <w:r>
        <w:t xml:space="preserve">6.9 log transformation of dose?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fig-beetles3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(dose),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f_linearlog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(lm2,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plot3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f_linearlog,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"Log-transform dose"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4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Mortality rates of adult flour beetles after five hours’ exposure to gaseous carbon disulphide (Bliss 1935)</w:t>
                  </w:r>
                </w:p>
                <w:bookmarkEnd w:id="116"/>
              </w:tc>
            </w:tr>
          </w:tbl>
        </w:tc>
      </w:tr>
    </w:tbl>
    <w:bookmarkEnd w:id="117"/>
    <w:bookmarkStart w:id="122" w:name="logistic-regression"/>
    <w:p>
      <w:pPr>
        <w:pStyle w:val="Heading2"/>
      </w:pPr>
      <w:r>
        <w:t xml:space="preserve">6.10 Logistic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fig-beetles4b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glm1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"Logistic regression"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(plot4)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5-1.png" id="1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Mortality rates of adult flour beetles</w:t>
                  </w:r>
                  <w:r>
                    <w:t xml:space="preserve"> </w:t>
                  </w:r>
                  <w:r>
                    <w:t xml:space="preserve">after five hours’ exposure to gaseous carbon disulphide (Bliss 1935)</w:t>
                  </w:r>
                </w:p>
                <w:bookmarkEnd w:id="121"/>
              </w:tc>
            </w:tr>
          </w:tbl>
        </w:tc>
      </w:tr>
    </w:tbl>
    <w:bookmarkEnd w:id="122"/>
    <w:bookmarkEnd w:id="123"/>
    <w:bookmarkStart w:id="151" w:name="structure-of-regression-models"/>
    <w:p>
      <w:pPr>
        <w:pStyle w:val="Heading1"/>
      </w:pPr>
      <w:r>
        <w:t xml:space="preserve">7.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1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w:r>
              <w:t xml:space="preserve">$$\mathbb{P}(Y|\mathord{\smash[b]{\underset{\raise.3ex\hbox{$\scriptstyle\sim$}}{X}}\vphantom{X}})$$</w:t>
            </w:r>
          </w:p>
          <w:bookmarkEnd w:id="1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w:r>
              <w:t xml:space="preserve">$\mathbb{P}(Y|\mathord{\smash[b]{\underset{\raise.3ex\hbox{$\scriptstyle\sim$}}{X}}\vphantom{X}})$</w:t>
            </w:r>
            <w:r>
              <w:t xml:space="preserve">?</w:t>
            </w:r>
          </w:p>
          <w:bookmarkEnd w:id="1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 (response variable, regressand, predicted variable, explained variable, experimental variable, output variable, dependent variable, endogenous variable, target, label))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variable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It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 (regressors, covariates, independent variables, explanatory variables, risk factors, exposure variables, input variables, exogenous variables, candidate variables, carriers, manipulated variables, features))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predictor variables</w:t>
            </w:r>
            <w:r>
              <w:t xml:space="preserve"> </w:t>
            </w:r>
            <w:r>
              <w:t xml:space="preserve">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128"/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3" w:name="tbl-regression-antonym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Common pairings of terms for variables</w:t>
                  </w:r>
                  <w:r>
                    <w:t xml:space="preserve"> </w:t>
                  </w:r>
                  <w:r>
                    <w:t xml:space="preserve">$\mathord{\smash[b]{\underset{\raise.3ex\hbox{$\scriptstyle\sim$}}{X}}\vphantom{X}}$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in regression models</w:t>
                  </w:r>
                  <w:r>
                    <w:t xml:space="preserve"> </w:t>
                  </w:r>
                  <w:r>
                    <w:t xml:space="preserve">$P(Y|\mathord{\smash[b]{\underset{\raise.3ex\hbox{$\scriptstyle\sim$}}{X}}\vphantom{X}})$</w:t>
                  </w:r>
                  <w:r>
                    <w:t xml:space="preserve"> </w:t>
                  </w:r>
                  <w:r>
                    <w:rPr>
                      <w:rStyle w:val="FootnoteReference"/>
                    </w:rPr>
                    <w:footnoteReference w:id="131"/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$\mathord{\smash[b]{\underset{\raise.3ex\hbox{$\scriptstyle\sim$}}{X}}\vphantom{X}}$</w:t>
                        </w:r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usual context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input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output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independent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dependent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predicted or response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explanatory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explained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exogenous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endogenous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econometrics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manipulated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measured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randomized controlled experiments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epidemiology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feature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label or target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machine learning</w:t>
                        </w:r>
                      </w:p>
                    </w:tc>
                  </w:tr>
                </w:tbl>
                <w:bookmarkEnd w:id="133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w:r>
              <w:t xml:space="preserve">$\operatorname{p}(Y|\mu(\mathord{\smash[b]{\underset{\raise.3ex\hbox{$\scriptstyle\sim$}}{x}}\vphantom{x}}))$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w:r>
              <w:t xml:space="preserve">$g(\mu(\mathord{\smash[b]{\underset{\raise.3ex\hbox{$\scriptstyle\sim$}}{x}}\vphantom{x}})) = \eta(\mathord{\smash[b]{\underset{\raise.3ex\hbox{$\scriptstyle\sim$}}{x}}\vphantom{x}})$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\beta$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5">
              <w:r>
                <w:rPr>
                  <w:rStyle w:val="Hyperlink"/>
                </w:rPr>
                <w:t xml:space="preserve">Binomial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w:r>
              <w:t xml:space="preserve">$$\eta(\mathord{\smash[b]{\underset{\raise.3ex\hbox{$\scriptstyle\sim$}}{x}}\vphantom{x}}) \stackrel{\text{def}}{=}\mathord{\smash[b]{\underset{\raise.3ex\hbox{$\scriptstyle\sim$}}{x}}\vphantom{x}}^{\top} \mathord{\smash[b]{\underset{\raise.3ex\hbox{$\scriptstyle\sim$}}{\beta}}\vphantom{\beta}}= \beta_0 + \beta_1 x_1 + \beta_2 x_2 + ...$$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identity:</w:t>
            </w:r>
            <w:r>
              <w:t xml:space="preserve"> </w:t>
            </w:r>
            <w:r>
              <w:t xml:space="preserve">$\mu(y)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logit:</w:t>
            </w:r>
            <w:r>
              <w:t xml:space="preserve"> </w:t>
            </w:r>
            <w:r>
              <w:t xml:space="preserve">${\operatorname{log}\mathopen{}\left\{\frac{\mu(y)}{1-\mu(y)}\right\}\mathclose{}}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log:</w:t>
            </w:r>
            <w:r>
              <w:t xml:space="preserve"> </w:t>
            </w:r>
            <w:r>
              <w:t xml:space="preserve">${\operatorname{log}\mathopen{}\left\{\mu(y)\right\}\mathclose{}}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inverse:</w:t>
            </w:r>
            <w:r>
              <w:t xml:space="preserve"> </w:t>
            </w:r>
            <w:r>
              <w:t xml:space="preserve">${\mathopen{}\left(\mu(y)\right)\mathclose{}}^{-1}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clog-log:</w:t>
            </w:r>
            <w:r>
              <w:t xml:space="preserve"> </w:t>
            </w:r>
            <w:r>
              <w:t xml:space="preserve">${\operatorname{log}\mathopen{}\left\{-{\operatorname{log}\mathopen{}\left\{1-\mu(y)\right\}\mathclose{}}\right\}\mathclose{}} = \eta(\mathord{\smash[b]{\underset{\raise.3ex\hbox{$\scriptstyle\sim$}}{x}}\vphantom{x}})$</w:t>
            </w:r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[9]</w:t>
            </w:r>
            <w:r>
              <w:t xml:space="preserve">).</w:t>
            </w:r>
          </w:p>
          <w:bookmarkEnd w:id="1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def-linear-predictor"/>
          <w:p>
            <w:pPr>
              <w:pStyle w:val="BodyText"/>
            </w:pPr>
            <w:r>
              <w:rPr>
                <w:b/>
                <w:bCs/>
              </w:rPr>
              <w:t xml:space="preserve">Definition 4 (Linear predictor (linear component))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$\mathord{\smash[b]{\underset{\raise.3ex\hbox{$\scriptstyle\sim$}}{x}}\vphantom{x}}\stackrel{\text{def}}{=}{(1, x_1, \ldots, x_p)}^{\top}$</w:t>
            </w:r>
            <w:r>
              <w:t xml:space="preserve"> </w:t>
            </w:r>
            <w:r>
              <w:t xml:space="preserve">be a covariate vector,</w:t>
            </w:r>
            <w:r>
              <w:t xml:space="preserve"> </w:t>
            </w:r>
            <w:r>
              <w:t xml:space="preserve">with a leading 1 for the intercept,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\beta_1, \ldots, \beta_p)}^{\top}$</w:t>
            </w:r>
            <w:r>
              <w:t xml:space="preserve"> </w:t>
            </w:r>
            <w:r>
              <w:t xml:space="preserve">be a vector of regression coefficients.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) of a regression model</w:t>
            </w:r>
            <w:r>
              <w:t xml:space="preserve"> </w:t>
            </w:r>
            <w:r>
              <w:t xml:space="preserve">is the function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
    \stackrel{\text{def}}{=}\underbrace{{\mathord{\smash[b]{\underset{\raise.3ex\hbox{$\scriptstyle\sim$}}{x}}\vphantom{x}}}^{\top}}_{1 \times (p+1)} \underbrace{\mathord{\smash[b]{\underset{\raise.3ex\hbox{$\scriptstyle\sim$}}{\beta}}\vphantom{\beta}}}_{(p+1) \times 1}
    = \beta_0 + \beta_1 x_1 + \cdots + \beta_p x_p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exm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4 (Computing a linear predictor)</w:t>
            </w:r>
            <w:r>
              <w:t xml:space="preserve"> </w:t>
            </w:r>
            <w:r>
              <w:t xml:space="preserve">Suppose a model has one covariate,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1.8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model</w:t>
            </w:r>
            <w:r>
              <w:t xml:space="preserve"> </w:t>
            </w:r>
            <w:r>
              <w:t xml:space="preserve">$\eta(\mathord{\smash[b]{\underset{\raise.3ex\hbox{$\scriptstyle\sim$}}{x}}\vphantom{x}}) = \beta_0 + \beta_1 {\operatorname{log}\mathopen{}\left\{x\right\}\mathclose{}} + \beta_2 x^2$</w:t>
            </w:r>
            <w:r>
              <w:t xml:space="preserve"> </w:t>
            </w:r>
            <w:r>
              <w:t xml:space="preserve">also has a linear predictor,</w:t>
            </w:r>
            <w:r>
              <w:t xml:space="preserve"> </w:t>
            </w:r>
            <w:r>
              <w:t xml:space="preserve">with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it is a weighted sum of covariates with weights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bookmarkEnd w:id="1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(Linear in the coefficients, not in the covariates)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Xd509da18f002a00605ff1215f6fc86fce129ab3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(Linear in the coefficients, not in the covariates). </w:t>
            </w:r>
            <w:r>
              <w:t xml:space="preserve">The linear predictor must be linear in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;</w:t>
            </w:r>
            <w:r>
              <w:t xml:space="preserve"> </w:t>
            </w:r>
            <w:r>
              <w:t xml:space="preserve">it need not be linear in the original covariates,</w:t>
            </w:r>
            <w:r>
              <w:t xml:space="preserve"> </w:t>
            </w:r>
            <w:r>
              <w:t xml:space="preserve">because each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can itself be a transformation of the data,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dose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age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or a product of two covariates.</w:t>
            </w:r>
          </w:p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exm-not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5 (A function that is not a linear predictor)</w:t>
            </w:r>
            <w:r>
              <w:t xml:space="preserve"> </w:t>
            </w:r>
            <w:r>
              <w:t xml:space="preserve">The function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not a linear predictor,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enters as an exponent rather than as a multiplier of a covariate.</w:t>
            </w:r>
            <w:r>
              <w:t xml:space="preserve"> </w:t>
            </w:r>
            <w:r>
              <w:t xml:space="preserve">For example,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to 2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an increase of 2,</w:t>
            </w:r>
            <w:r>
              <w:t xml:space="preserve"> </w:t>
            </w:r>
            <w:r>
              <w:t xml:space="preserve">but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2 to 3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an increase of 4.</w:t>
            </w:r>
            <w:r>
              <w:t xml:space="preserve"> </w:t>
            </w:r>
            <w:r>
              <w:t xml:space="preserve">A linear function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change by the same amount for each equal step in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link-function"/>
          <w:p>
            <w:pPr>
              <w:pStyle w:val="BodyText"/>
            </w:pPr>
            <w:r>
              <w:rPr>
                <w:b/>
                <w:bCs/>
              </w:rPr>
              <w:t xml:space="preserve">Definition 5 (Link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 </w:t>
            </w:r>
            <w:r>
              <w:t xml:space="preserve">be the conditional mean of the outcome.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is a monotone, differentiable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relates the mean to the linear predictor 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w:r>
              <w:t xml:space="preserve">$$
    g\mathopen{}\left(\mu(\mathord{\smash[b]{\underset{\raise.3ex\hbox{$\scriptstyle\sim$}}{x}}\vphantom{x}})\right)\mathclose{} \stackrel{\text{def}}{=}\eta(\mathord{\smash[b]{\underset{\raise.3ex\hbox{$\scriptstyle\sim$}}{x}}\vphantom{x}})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1" w:name="def-inverse-link"/>
          <w:p>
            <w:pPr>
              <w:pStyle w:val="BodyText"/>
            </w:pPr>
            <w:r>
              <w:rPr>
                <w:b/>
                <w:bCs/>
              </w:rPr>
              <w:t xml:space="preserve">Definition 6 (Inverse link)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strictly monotone on the range of possible means,</w:t>
            </w:r>
            <w:r>
              <w:t xml:space="preserve"> </w:t>
            </w:r>
            <w:r>
              <w:t xml:space="preserve">it has an inverse,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maps the linear predictor back to the mean:</w:t>
            </w:r>
          </w:p>
          <w:p>
            <w:pPr>
              <w:pStyle w:val="BodyText"/>
            </w:pPr>
            <w:r>
              <w:t xml:space="preserve">$$
    \mu(\mathord{\smash[b]{\underset{\raise.3ex\hbox{$\scriptstyle\sim$}}{x}}\vphantom{x}}) = g^{-1}\mathopen{}\left(\eta(\mathord{\smash[b]{\underset{\raise.3ex\hbox{$\scriptstyle\sim$}}{x}}\vphantom{x}})\right)\mathclose{}
    $$</w:t>
            </w:r>
          </w:p>
          <w:bookmarkEnd w:id="1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2" w:name="exm-link-function"/>
          <w:p>
            <w:pPr>
              <w:pStyle w:val="BodyText"/>
            </w:pPr>
            <w:r>
              <w:rPr>
                <w:b/>
                <w:bCs/>
              </w:rPr>
              <w:t xml:space="preserve">Example 6 (Logit and log links)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 logit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inverse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0.7685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Applying the link to this mean recovers the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1.2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 of an exponential)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1.2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inverts exp)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instead,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same linear predictor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1.2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3.320</m:t>
              </m:r>
            </m:oMath>
            <w:r>
              <w:t xml:space="preserve">.</w:t>
            </w:r>
          </w:p>
          <w:bookmarkEnd w:id="1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m-not-link-function"/>
          <w:p>
            <w:pPr>
              <w:pStyle w:val="BodyText"/>
            </w:pPr>
            <w:r>
              <w:rPr>
                <w:b/>
                <w:bCs/>
              </w:rPr>
              <w:t xml:space="preserve">Example 7 (A function that is not a link function)</w:t>
            </w:r>
            <w:r>
              <w:t xml:space="preserve"> </w:t>
            </w:r>
            <w:r>
              <w:t xml:space="preserve">For a Gaussian outcome, whose mean can be any real number,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not a valid link function,</w:t>
            </w:r>
            <w:r>
              <w:t xml:space="preserve"> </w:t>
            </w:r>
            <w:r>
              <w:t xml:space="preserve">because it is not monotone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linear predictor</w:t>
            </w:r>
            <w:r>
              <w:t xml:space="preserve"> </w:t>
            </w:r>
            <w:r>
              <w:t xml:space="preserve">$\eta(\mathord{\smash[b]{\underset{\raise.3ex\hbox{$\scriptstyle\sim$}}{x}}\vphantom{x}}) = 1$</w:t>
            </w:r>
            <w:r>
              <w:t xml:space="preserve"> </w:t>
            </w:r>
            <w:r>
              <w:t xml:space="preserve">does not determine the mean,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no inverse link.</w:t>
            </w:r>
          </w:p>
          <w:bookmarkEnd w:id="1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def-outcome-distribution"/>
          <w:p>
            <w:pPr>
              <w:pStyle w:val="BodyText"/>
            </w:pPr>
            <w:r>
              <w:rPr>
                <w:b/>
                <w:bCs/>
              </w:rPr>
              <w:t xml:space="preserve">Definition 7 (Outcome distribution (random component))</w:t>
            </w:r>
            <w:r>
              <w:t xml:space="preserve"> </w:t>
            </w:r>
            <w:r>
              <w:t xml:space="preserve">In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 (the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)</w:t>
            </w:r>
            <w:r>
              <w:t xml:space="preserve"> </w:t>
            </w:r>
            <w:r>
              <w:t xml:space="preserve">is the specified distribution family that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,</w:t>
            </w:r>
            <w:r>
              <w:t xml:space="preserve"> </w:t>
            </w:r>
            <w:r>
              <w:t xml:space="preserve">where observations are independent given their covariates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glm"/>
          <w:p>
            <w:pPr>
              <w:pStyle w:val="BodyText"/>
            </w:pPr>
            <w:r>
              <w:rPr>
                <w:b/>
                <w:bCs/>
              </w:rPr>
              <w:t xml:space="preserve">Definition 8 (Generalized linear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linear model (GLM)</w:t>
            </w:r>
            <w:r>
              <w:t xml:space="preserve"> </w:t>
            </w:r>
            <w:r>
              <w:t xml:space="preserve">is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with three components</w:t>
            </w:r>
            <w:r>
              <w:t xml:space="preserve"> </w:t>
            </w:r>
            <w:r>
              <w:t xml:space="preserve">[9, Ch. 5], [10, Ch. 3]</w:t>
            </w:r>
            <w:r>
              <w:t xml:space="preserve">: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an outcome distribution family (the random component):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a specified distribution family,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,</w:t>
            </w:r>
            <w:r>
              <w:t xml:space="preserve"> </w:t>
            </w:r>
            <w:r>
              <w:t xml:space="preserve">and observations are independent given their covariates</w:t>
            </w:r>
            <w:r>
              <w:t xml:space="preserve"> </w:t>
            </w:r>
            <w:r>
              <w:t xml:space="preserve">(</w:t>
            </w:r>
            <w:hyperlink w:anchor="def-outcome-distribution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linear predictor</w:t>
            </w:r>
            <w:r>
              <w:t xml:space="preserve"> </w:t>
            </w:r>
            <w:r>
              <w:t xml:space="preserve">$\eta(\mathord{\smash[b]{\underset{\raise.3ex\hbox{$\scriptstyle\sim$}}{x}}\vphantom{x}})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      </w:r>
            <w:r>
              <w:t xml:space="preserve"> </w:t>
            </w:r>
            <w:r>
              <w:t xml:space="preserve">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link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connecting the two,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).</w:t>
            </w:r>
          </w:p>
          <w:bookmarkEnd w:id="145"/>
        </w:tc>
      </w:tr>
    </w:tbl>
    <w:p>
      <w:pPr>
        <w:pStyle w:val="FirstParagraph"/>
      </w:pPr>
      <w:r>
        <w:t xml:space="preserve">A GLM specifies model structure only:</w:t>
      </w:r>
      <w:r>
        <w:t xml:space="preserve"> </w:t>
      </w:r>
      <w:r>
        <w:t xml:space="preserve">its coefficients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estimated by maximum likelihood,</w:t>
      </w:r>
      <w:r>
        <w:t xml:space="preserve"> </w:t>
      </w:r>
      <w:r>
        <w:t xml:space="preserve">by Bayesian methods, or by other inference methods.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exm-glm"/>
          <w:p>
            <w:pPr>
              <w:pStyle w:val="BodyText"/>
            </w:pPr>
            <w:r>
              <w:rPr>
                <w:b/>
                <w:bCs/>
              </w:rPr>
              <w:t xml:space="preserve">Example 8 (Logistic and linear regression as GLMs)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indicate death of a beetle exposed to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model with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outcome distribution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logit link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is a GLM: logistic regression.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link-function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0.7685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Gaussian linear regression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also a GLM,</w:t>
            </w:r>
            <w:r>
              <w:t xml:space="preserve"> </w:t>
            </w:r>
            <w:r>
              <w:t xml:space="preserve">with a Gaussian outcome distribution</w:t>
            </w:r>
            <w:r>
              <w:t xml:space="preserve"> </w:t>
            </w:r>
            <w:r>
              <w:t xml:space="preserve">and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7" w:name="def-interaction"/>
          <w:p>
            <w:pPr>
              <w:pStyle w:val="BodyText"/>
            </w:pPr>
            <w:r>
              <w:rPr>
                <w:b/>
                <w:bCs/>
              </w:rPr>
              <w:t xml:space="preserve">Definition 9 (Interaction)</w:t>
            </w:r>
            <w:r>
              <w:t xml:space="preserve"> </w:t>
            </w:r>
            <w:r>
              <w:t xml:space="preserve">Consider a regression model whose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includes two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model includes an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when the difference in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holding the other covariates fixed,</w:t>
            </w:r>
            <w:r>
              <w:t xml:space="preserve"> </w:t>
            </w:r>
            <w:r>
              <w:t xml:space="preserve">depends on the value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[10, Ch. 6]</w:t>
            </w:r>
            <w:r>
              <w:t xml:space="preserve">.</w:t>
            </w:r>
          </w:p>
          <w:bookmarkEnd w:id="147"/>
        </w:tc>
      </w:tr>
    </w:tbl>
    <w:p>
      <w:pPr>
        <w:pStyle w:val="BodyText"/>
      </w:pP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describes only how the linear predictor varies across subpopulations,</w:t>
      </w:r>
      <w:r>
        <w:t xml:space="preserve"> </w:t>
      </w:r>
      <w:r>
        <w:t xml:space="preserve">so it makes no causal claim.</w:t>
      </w:r>
      <w:r>
        <w:t xml:space="preserve"> </w:t>
      </w:r>
      <w:r>
        <w:t xml:space="preserve">Interaction is also scale-dependent:</w:t>
      </w:r>
      <w:r>
        <w:t xml:space="preserve"> </w:t>
      </w: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stated on the scale of the linear predictor</w:t>
      </w:r>
      <w:r>
        <w:t xml:space="preserve"> </w:t>
      </w:r>
      <w:r>
        <w:t xml:space="preserve">$\eta(\mathord{\smash[b]{\underset{\raise.3ex\hbox{$\scriptstyle\sim$}}{x}}\vphantom{x}})$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which can differ from the scale of the mean</w:t>
      </w:r>
      <w:r>
        <w:t xml:space="preserve"> </w:t>
      </w:r>
      <w:r>
        <w:t xml:space="preserve">$\mu(\mathord{\smash[b]{\underset{\raise.3ex\hbox{$\scriptstyle\sim$}}{x}}\vphantom{x}})$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def-interaction-term"/>
          <w:p>
            <w:pPr>
              <w:pStyle w:val="BodyText"/>
            </w:pPr>
            <w:r>
              <w:rPr>
                <w:b/>
                <w:bCs/>
              </w:rPr>
              <w:t xml:space="preserve">Definition 10 (Interaction term)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interaction term</w:t>
            </w:r>
            <w:r>
              <w:t xml:space="preserve"> </w:t>
            </w:r>
            <w:r>
              <w:t xml:space="preserve">is a term in the linear predictor</w:t>
            </w:r>
            <w:r>
              <w:t xml:space="preserve"> </w:t>
            </w:r>
            <w:r>
              <w:t xml:space="preserve">formed by multiplying two (or more) covariates together,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its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called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.</w:t>
            </w:r>
            <w:r>
              <w:t xml:space="preserve"> </w:t>
            </w:r>
            <w:r>
              <w:t xml:space="preserve">A linear predictor with two covariates and their interaction term has the form: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 \stackrel{\text{def}}{=}\beta_0 + \beta_j x_j + \beta_k x_k + \beta_{jk} x_j x_k
    $$</w:t>
            </w:r>
          </w:p>
          <w:bookmarkEnd w:id="1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9" w:name="exm-interaction"/>
          <w:p>
            <w:pPr>
              <w:pStyle w:val="BodyText"/>
            </w:pPr>
            <w:r>
              <w:rPr>
                <w:b/>
                <w:bCs/>
              </w:rPr>
              <w:t xml:space="preserve">Example 9 (A linear predictor with an interaction term)</w:t>
            </w:r>
            <w:r>
              <w:t xml:space="preserve"> </w:t>
            </w:r>
            <w:r>
              <w:t xml:space="preserve">Suppose a model has a numeric covariate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 binary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linear predictor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holding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fixed,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includes an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t>z</m:t>
              </m:r>
            </m:oMath>
            <w:r>
              <w:t xml:space="preserve"> </w:t>
            </w:r>
            <w:r>
              <w:t xml:space="preserve">is its interaction term,</w:t>
            </w:r>
            <w:r>
              <w:t xml:space="preserve"> </w:t>
            </w:r>
            <w:r>
              <w:t xml:space="preserve">with interaction coefficient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exm-no-interaction"/>
          <w:p>
            <w:pPr>
              <w:pStyle w:val="BodyText"/>
            </w:pPr>
            <w:r>
              <w:rPr>
                <w:b/>
                <w:bCs/>
              </w:rPr>
              <w:t xml:space="preserve">Example 10 (A linear predictor without an interaction term (counterexample))</w:t>
            </w:r>
            <w:r>
              <w:t xml:space="preserve"> </w:t>
            </w:r>
            <w:r>
              <w:t xml:space="preserve">Now drop the interaction term, so that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at both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has no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lines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parallel on the scale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.</w:t>
            </w:r>
          </w:p>
          <w:bookmarkEnd w:id="150"/>
        </w:tc>
      </w:tr>
    </w:tbl>
    <w:bookmarkEnd w:id="151"/>
    <w:bookmarkStart w:id="156" w:name="sec-why-link"/>
    <w:p>
      <w:pPr>
        <w:pStyle w:val="Heading1"/>
      </w:pPr>
      <w:r>
        <w:t xml:space="preserve">8. Why link functions?</w:t>
      </w:r>
    </w:p>
    <w:p>
      <w:pPr>
        <w:pStyle w:val="FirstParagraph"/>
      </w:pPr>
      <w:r>
        <w:t xml:space="preserve">So far, we have seen models for Gaussian distributions that vary across subpopulations,</w:t>
      </w:r>
      <w:r>
        <w:t xml:space="preserve"> </w:t>
      </w:r>
      <w:r>
        <w:t xml:space="preserve">and distributions for single populations.</w:t>
      </w:r>
      <w:r>
        <w:t xml:space="preserve"> </w:t>
      </w:r>
      <w:r>
        <w:t xml:space="preserve">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combines the two:</w:t>
      </w:r>
      <w:r>
        <w:t xml:space="preserve"> </w:t>
      </w:r>
      <w:r>
        <w:t xml:space="preserve">it describes how a non-Gaussian distribution varies across subpopulations.</w:t>
      </w:r>
      <w:r>
        <w:t xml:space="preserve"> </w:t>
      </w: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is the piece that makes this work.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r-why-link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Suppose the outcome is a count or a binary variable.</w:t>
            </w:r>
            <w:r>
              <w:t xml:space="preserve"> </w:t>
            </w:r>
            <w:r>
              <w:t xml:space="preserve">Why not model the mean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as a linear function of the covariates, as in a Gaussian model?</w:t>
            </w:r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sol-why-lin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A straight line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leave the range of the outcome:</w:t>
            </w:r>
            <w:r>
              <w:t xml:space="preserve"> </w:t>
            </w:r>
            <w:r>
              <w:t xml:space="preserve">it can predict a negative count, or a probability below 0 or above 1.</w:t>
            </w:r>
            <w:r>
              <w:t xml:space="preserve"> </w:t>
            </w:r>
            <w:r>
              <w:t xml:space="preserve">We could try to repair this by transforming each covariate separately</w:t>
            </w:r>
            <w:r>
              <w:t xml:space="preserve"> </w:t>
            </w:r>
            <w:r>
              <w:t xml:space="preserve">and adding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until the fitted curve stays in range,</w:t>
            </w:r>
            <w:r>
              <w:t xml:space="preserve"> </w:t>
            </w:r>
            <w:r>
              <w:t xml:space="preserve">but that is hard to get right.</w:t>
            </w:r>
          </w:p>
          <w:p>
            <w:pPr>
              <w:pStyle w:val="BodyText"/>
            </w:pPr>
            <w:r>
              <w:t xml:space="preserve">The link function offers a simpler route.</w:t>
            </w:r>
            <w:r>
              <w:t xml:space="preserve"> </w:t>
            </w:r>
            <w:r>
              <w:t xml:space="preserve">We add all the covariate terms together first, to get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and then transform once, with the 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link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relates the mean to the linear predictor: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to both sides gives: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= g^{-1}\mathopen{}\left(\eta(\mathord{\smash[b]{\underset{\raise.3ex\hbox{$\scriptstyle\sim$}}{x}}\vphantom{x}})\right)\mathclose{}$$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Choosing the inverse link guarantees the model structure we want: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 link,</w:t>
            </w:r>
            <w:r>
              <w:t xml:space="preserve"> </w:t>
            </w:r>
            <w:r>
              <w:t xml:space="preserve">$\mu(\mathord{\smash[b]{\underset{\raise.3ex\hbox{$\scriptstyle\sim$}}{x}}\vphantom{x}}) = {\operatorname{exp}\mathopen{}\left\{\eta(\mathord{\smash[b]{\underset{\raise.3ex\hbox{$\scriptstyle\sim$}}{x}}\vphantom{x}})\right\}\mathclose{}} &gt; 0$</w:t>
            </w:r>
            <w:r>
              <w:t xml:space="preserve">, so a mean count is never negative;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logit link,</w:t>
            </w:r>
            <w:r>
              <w:t xml:space="preserve"> </w:t>
            </w:r>
            <w:r>
              <w:t xml:space="preserve">$\mu(\mathord{\smash[b]{\underset{\raise.3ex\hbox{$\scriptstyle\sim$}}{x}}\vphantom{x}}) = \operatorname{expit}(\eta(\mathord{\smash[b]{\underset{\raise.3ex\hbox{$\scriptstyle\sim$}}{x}}\vphantom{x}}))$</w:t>
            </w:r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probability is never below 0 or above 1.</w:t>
            </w:r>
          </w:p>
          <w:bookmarkEnd w:id="15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(Slopes under a non-identity link)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rem-link-slope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(Slopes under a non-identity link). </w:t>
            </w:r>
            <w:r>
              <w:t xml:space="preserve">With a non-identity link, interpreting a slope gets harder.</w:t>
            </w:r>
            <w:r>
              <w:t xml:space="preserve"> </w:t>
            </w:r>
            <w:r>
              <w:t xml:space="preserve">A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change in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without any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depends on the values of the other covariates,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not linear.</w:t>
            </w:r>
          </w:p>
          <w:bookmarkEnd w:id="1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exm-link-slope-numeric"/>
          <w:p>
            <w:pPr>
              <w:pStyle w:val="BodyText"/>
            </w:pPr>
            <w:r>
              <w:rPr>
                <w:b/>
                <w:bCs/>
              </w:rPr>
              <w:t xml:space="preserve">Example 11 (A logistic model with no interaction)</w:t>
            </w:r>
            <w:r>
              <w:t xml:space="preserve"> </w:t>
            </w:r>
            <w:r>
              <w:t xml:space="preserve">Suppose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of a binary outcome, which is its probability,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1.5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coefficient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same 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odds ratio for 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change in probability for the same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risk_diff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(z)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rd0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rd1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probability rises by 0.15;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it rises by 0.245.</w:t>
            </w:r>
            <w:r>
              <w:t xml:space="preserve"> </w:t>
            </w:r>
            <w:r>
              <w:t xml:space="preserve">The odds ratio is the same in both subgroups, but the difference in probabilities is not.</w:t>
            </w:r>
          </w:p>
          <w:bookmarkEnd w:id="155"/>
        </w:tc>
      </w:tr>
    </w:tbl>
    <w:bookmarkEnd w:id="156"/>
    <w:bookmarkStart w:id="181" w:name="sec-canonical-link"/>
    <w:p>
      <w:pPr>
        <w:pStyle w:val="Heading1"/>
      </w:pPr>
      <w:r>
        <w:t xml:space="preserve">9. Canonical links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functions</w:t>
        </w:r>
      </w:hyperlink>
      <w:r>
        <w:t xml:space="preserve"> </w:t>
      </w:r>
      <w:r>
        <w:t xml:space="preserve">listed in the structure of 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are not all on the same footing.</w:t>
      </w:r>
      <w:r>
        <w:t xml:space="preserve"> </w:t>
      </w:r>
      <w:r>
        <w:t xml:space="preserve">For each outcome distribution, the form of its density singles out one link.</w:t>
      </w:r>
      <w:r>
        <w:t xml:space="preserve"> </w:t>
      </w:r>
      <w:r>
        <w:t xml:space="preserve">To say which, we need the density’s</w:t>
      </w:r>
      <w:r>
        <w:t xml:space="preserve"> </w:t>
      </w:r>
      <w:r>
        <w:rPr>
          <w:i/>
          <w:iCs/>
        </w:rPr>
        <w:t xml:space="preserve">natural parameter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def-exponential-dispersion-family"/>
          <w:p>
            <w:pPr>
              <w:pStyle w:val="BodyText"/>
            </w:pPr>
            <w:r>
              <w:rPr>
                <w:b/>
                <w:bCs/>
              </w:rPr>
              <w:t xml:space="preserve">Definition 11 (Exponential dispersion family)</w:t>
            </w:r>
            <w:r>
              <w:t xml:space="preserve"> </w:t>
            </w:r>
            <w:r>
              <w:t xml:space="preserve">A distribution belongs to the</w:t>
            </w:r>
            <w:r>
              <w:t xml:space="preserve"> </w:t>
            </w:r>
            <w:r>
              <w:rPr>
                <w:b/>
                <w:bCs/>
              </w:rPr>
              <w:t xml:space="preserve">exponential dispersion family</w:t>
            </w:r>
            <w:r>
              <w:t xml:space="preserve"> </w:t>
            </w:r>
            <w:r>
              <w:t xml:space="preserve">if its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probability mass function</w:t>
              </w:r>
            </w:hyperlink>
            <w:r>
              <w:t xml:space="preserve">)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 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some functions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natural-parameter"/>
          <w:p>
            <w:pPr>
              <w:pStyle w:val="BodyText"/>
            </w:pPr>
            <w:r>
              <w:rPr>
                <w:b/>
                <w:bCs/>
              </w:rPr>
              <w:t xml:space="preserve">Definition 12 (Natural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natural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def-dispersion-parameter"/>
          <w:p>
            <w:pPr>
              <w:pStyle w:val="BodyText"/>
            </w:pPr>
            <w:r>
              <w:rPr>
                <w:b/>
                <w:bCs/>
              </w:rPr>
              <w:t xml:space="preserve">Definition 13 (Dispersion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dispersion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exm-edf-poisson-bernoulli"/>
          <w:p>
            <w:pPr>
              <w:pStyle w:val="BodyText"/>
            </w:pPr>
            <w:r>
              <w:rPr>
                <w:b/>
                <w:bCs/>
              </w:rPr>
              <w:t xml:space="preserve">Example 12 (Poisson and Bernoulli distributions in exponential dispersion form)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 </w:t>
            </w:r>
            <w:r>
              <w:t xml:space="preserve">outcome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outcome with success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code below checks both forms against R’s built-in densities,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theta_pois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(mu)</w:t>
            </w:r>
            <w:r>
              <w:br/>
            </w:r>
            <w:r>
              <w:rPr>
                <w:rStyle w:val="NormalTok"/>
              </w:rPr>
              <w:t xml:space="preserve">y_pois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pois_exp_form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y_pois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theta_pois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(theta_pois)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lgamma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pois_check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(pois_exp_form,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(y_pois, mu)))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br/>
            </w:r>
            <w:r>
              <w:rPr>
                <w:rStyle w:val="NormalTok"/>
              </w:rPr>
              <w:t xml:space="preserve">theta_bern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qlogis</w:t>
            </w:r>
            <w:r>
              <w:rPr>
                <w:rStyle w:val="NormalTok"/>
              </w:rPr>
              <w:t xml:space="preserve">(pi_bern)</w:t>
            </w:r>
            <w:r>
              <w:br/>
            </w:r>
            <w:r>
              <w:rPr>
                <w:rStyle w:val="NormalTok"/>
              </w:rPr>
              <w:t xml:space="preserve">y_bern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bern_exp_form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theta_bern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(theta_bern)))</w:t>
            </w:r>
            <w:r>
              <w:br/>
            </w:r>
            <w:r>
              <w:rPr>
                <w:rStyle w:val="NormalTok"/>
              </w:rPr>
              <w:t xml:space="preserve">bern_check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(bern_exp_form, 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(y_bern,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pi_bern)))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Poisson distribution 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0.224,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dpois(2, 3)</w:t>
            </w:r>
            <w:r>
              <w:t xml:space="preserve">: TRUE.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Bernoulli distribution 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-1.0986,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dbinom(1, 1, 0.25)</w:t>
            </w:r>
            <w:r>
              <w:t xml:space="preserve">: TRUE.</w:t>
            </w:r>
          </w:p>
          <w:bookmarkEnd w:id="1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exm-edf-gaussian"/>
          <w:p>
            <w:pPr>
              <w:pStyle w:val="BodyText"/>
            </w:pPr>
            <w:r>
              <w:rPr>
                <w:b/>
                <w:bCs/>
              </w:rPr>
              <w:t xml:space="preserve">Example 13 (The Gaussian distribution in exponential dispersion form)</w:t>
            </w:r>
            <w:r>
              <w:t xml:space="preserve"> </w:t>
            </w:r>
            <w:r>
              <w:t xml:space="preserve">For a Gaussian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(Gaussian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constant as the exponential of its log)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sum, and simplify each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this last line to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ϕ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t>ϕ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instance, take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 term of the exponent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second term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exponent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Gaussian density’s own exponent is also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both forms give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0.1760</m:t>
              </m:r>
            </m:oMath>
            <w:r>
              <w:t xml:space="preserve">.</w:t>
            </w:r>
          </w:p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thm-edf-mean-variance"/>
          <w:p>
            <w:pPr>
              <w:pStyle w:val="BodyText"/>
            </w:pPr>
            <w:r>
              <w:rPr>
                <w:b/>
                <w:bCs/>
              </w:rPr>
              <w:t xml:space="preserve">Theorem 1 (Mean and variance in an exponential dispersion family)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have the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support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twice differentiable.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write the proof with integrals;</w:t>
            </w:r>
            <w:r>
              <w:t xml:space="preserve"> </w:t>
            </w:r>
            <w:r>
              <w:t xml:space="preserve">for a probability mass function, replace each integral with a sum.</w:t>
            </w:r>
            <w:r>
              <w:t xml:space="preserve"> </w:t>
            </w:r>
            <w:r>
              <w:t xml:space="preserve">Because the support 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differentiate under the integral sign.</w:t>
            </w:r>
          </w:p>
          <w:p>
            <w:pPr>
              <w:pStyle w:val="BodyText"/>
            </w:pPr>
            <w:r>
              <w:t xml:space="preserve">The derivative of the density with respect to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Every density integrates to 1, for every value of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differentiating that identity once gives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under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Differentiating the same identity a second time gives the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ϕ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, so this is the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rearranging gives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exm-edf-mean-variance"/>
          <w:p>
            <w:pPr>
              <w:pStyle w:val="BodyText"/>
            </w:pPr>
            <w:r>
              <w:rPr>
                <w:b/>
                <w:bCs/>
              </w:rPr>
              <w:t xml:space="preserve">Example 14 (Means and variances from</w:t>
            </w:r>
            <w:r>
              <w:rPr>
                <w:b/>
                <w:bCs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distributions in</w:t>
            </w:r>
            <w:r>
              <w:t xml:space="preserve"> </w:t>
            </w:r>
            <w:hyperlink w:anchor="exm-edf-poisson-bernoulli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df-gaussia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fraction as a product of two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0.1875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result matches the familiar mean and variance of that distribution.</w:t>
            </w:r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def-variance-function"/>
          <w:p>
            <w:pPr>
              <w:pStyle w:val="BodyText"/>
            </w:pPr>
            <w:r>
              <w:rPr>
                <w:b/>
                <w:bCs/>
              </w:rPr>
              <w:t xml:space="preserve">Definition 14 (Variance function)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 as a function of</w:t>
            </w:r>
            <w:r>
              <w:t xml:space="preserve"> </w:t>
            </w:r>
            <m:oMath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variance function</w:t>
            </w:r>
            <w:r>
              <w:t xml:space="preserve">.</w:t>
            </w:r>
          </w:p>
          <w:bookmarkEnd w:id="1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exm-variance-function"/>
          <w:p>
            <w:pPr>
              <w:pStyle w:val="BodyText"/>
            </w:pPr>
            <w:r>
              <w:rPr>
                <w:b/>
                <w:bCs/>
              </w:rPr>
              <w:t xml:space="preserve">Example 15 (Variance functions of three families)</w:t>
            </w:r>
            <w:r>
              <w:t xml:space="preserve"> </w:t>
            </w:r>
            <w:r>
              <w:t xml:space="preserve">Rewriting each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as a function of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each family’s variance function: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3960"/>
              <w:gridCol w:w="1440"/>
              <w:gridCol w:w="630"/>
              <w:gridCol w:w="9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variance function is constant,</w:t>
            </w:r>
            <w:r>
              <w:t xml:space="preserve"> </w:t>
            </w:r>
            <w:r>
              <w:t xml:space="preserve">so the variance does not depend on the mean.</w:t>
            </w:r>
            <w:r>
              <w:t xml:space="preserve"> </w:t>
            </w:r>
            <w:r>
              <w:t xml:space="preserve">The Poisson variance function grows with the mean.</w:t>
            </w:r>
            <w:r>
              <w:t xml:space="preserve"> </w:t>
            </w:r>
            <w:r>
              <w:t xml:space="preserve">The Bernoulli variance function is largest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shrinks toward 0 as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approaches 0 or 1.</w:t>
            </w:r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variance function and the variance)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rem-variance-function-varianc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variance function and the variance).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canonical-link"/>
          <w:p>
            <w:pPr>
              <w:pStyle w:val="BodyText"/>
            </w:pPr>
            <w:r>
              <w:rPr>
                <w:b/>
                <w:bCs/>
              </w:rPr>
              <w:t xml:space="preserve">Definition 15 (Canonical link)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link</w:t>
            </w:r>
            <w:r>
              <w:t xml:space="preserve"> </w:t>
            </w:r>
            <w:r>
              <w:t xml:space="preserve">is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sets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equal to the natural parameter: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θ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thm-canonical-link-inverse"/>
          <w:p>
            <w:pPr>
              <w:pStyle w:val="BodyText"/>
            </w:pPr>
            <w:r>
              <w:rPr>
                <w:b/>
                <w:bCs/>
              </w:rPr>
              <w:t xml:space="preserve">Theorem 2 (The canonical link inverts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satisfies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canonical link is the inverse of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strictly increasing,</w:t>
            </w:r>
            <w:r>
              <w:t xml:space="preserve"> </w:t>
            </w:r>
            <w:r>
              <w:t xml:space="preserve">so it has an inverse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 its range.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an exponential dispersion family)</m:t>
                    </m:r>
                  </m:e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condition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for any distribution</w:t>
      </w:r>
      <w:r>
        <w:t xml:space="preserve"> </w:t>
      </w:r>
      <w:r>
        <w:t xml:space="preserve">whose variance</w:t>
      </w:r>
      <w:r>
        <w:t xml:space="preserve"> </w:t>
      </w:r>
      <m:oMath>
        <m:r>
          <m:t>ϕ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that is, any distribution that is not concentrated at a single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exm-canonical-links"/>
          <w:p>
            <w:pPr>
              <w:pStyle w:val="BodyText"/>
            </w:pPr>
            <w:r>
              <w:rPr>
                <w:b/>
                <w:bCs/>
              </w:rPr>
              <w:t xml:space="preserve">Example 16 (Canonical links of three families)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canonical-link-invers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 we solve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canonical link is the logit link.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0.25</m:t>
                  </m:r>
                  <m:r>
                    <m:rPr>
                      <m:sty m:val="p"/>
                    </m:rPr>
                    <m:t>/</m:t>
                  </m:r>
                  <m:r>
                    <m:t>0.75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.</w:t>
            </w:r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exm-noncanonical-link"/>
          <w:p>
            <w:pPr>
              <w:pStyle w:val="BodyText"/>
            </w:pPr>
            <w:r>
              <w:rPr>
                <w:b/>
                <w:bCs/>
              </w:rPr>
              <w:t xml:space="preserve">Example 17 (A link that is not canonical)</w:t>
            </w:r>
            <w:r>
              <w:t xml:space="preserve"> </w:t>
            </w:r>
            <w:r>
              <w:t xml:space="preserve">The probit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Gaussian cumulative distribution function,</w:t>
            </w:r>
            <w:r>
              <w:t xml:space="preserve"> </w:t>
            </w:r>
            <w:r>
              <w:t xml:space="preserve">is a valid link function for a Bernoulli outcome,</w:t>
            </w:r>
            <w:r>
              <w:t xml:space="preserve"> </w:t>
            </w:r>
            <w:r>
              <w:t xml:space="preserve">because it is strictly increasing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not the canonical link: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0.6745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whereas 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).</w:t>
            </w:r>
          </w:p>
          <w:bookmarkEnd w:id="173"/>
        </w:tc>
      </w:tr>
    </w:tbl>
    <w:bookmarkStart w:id="180" w:name="X753ec4f5c77d18b7f6dfaed9f2c6dfed7b3e62a"/>
    <w:p>
      <w:pPr>
        <w:pStyle w:val="Heading2"/>
      </w:pPr>
      <w:r>
        <w:t xml:space="preserve">9.1 The score function under a canonical link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canonical-score"/>
          <w:p>
            <w:pPr>
              <w:pStyle w:val="BodyText"/>
            </w:pPr>
            <w:r>
              <w:rPr>
                <w:b/>
                <w:bCs/>
              </w:rPr>
              <w:t xml:space="preserve">Theorem 3 (Score function of a GLM with a canonical link)</w:t>
            </w:r>
            <w:r>
              <w:t xml:space="preserve"> </w:t>
            </w:r>
            <w:r>
              <w:t xml:space="preserve">Consider a GLM (</w:t>
            </w:r>
            <w:hyperlink w:anchor="def-glm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for independent 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covariate vectors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whose outcome distribution is an exponential dispersion family</w:t>
            </w:r>
            <w:r>
              <w:t xml:space="preserve"> </w:t>
            </w:r>
            <w:r>
              <w:t xml:space="preserve">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satisfying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natural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a common dispersion parameter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whose link is the canonical link (</w:t>
            </w:r>
            <w:hyperlink w:anchor="def-canonical-lin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\stackrel{\text{def}}{=}{\mathbb{E}\mathopen{}\left[Y_i | \mathord{\smash[b]{\underset{\raise.3ex\hbox{$\scriptstyle\sim$}}{X}}\vphantom{X}}_i = \mathord{\smash[b]{\underset{\raise.3ex\hbox{$\scriptstyle\sim$}}{x}}\vphantom{x}}_i\right]\mathclose{}}$</w:t>
            </w:r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74" w:name="eq-canonical-score"/>
            <w:r>
              <w:t xml:space="preserve">$$
    \mathord{\smash[b]{\underset{\raise.3ex\hbox{$\scriptstyle\sim$}}{\ell'}}\vphantom{\ell'}}(\mathord{\smash[b]{\underset{\raise.3ex\hbox{$\scriptstyle\sim$}}{\beta}}\vphantom{\beta}})
    = \frac{1}{\phi} \sum_{i=1}^n\underbrace{\mathord{\smash[b]{\underset{\raise.3ex\hbox{$\scriptstyle\sim$}}{x}}\vphantom{x}}_i}_{(p+1) \times 1} \underbrace{(y_i - \mu_i)}_{1 \times 1}
     \qquad(1)$$</w:t>
            </w:r>
            <w:bookmarkEnd w:id="174"/>
          </w:p>
          <w:p>
            <w:pPr>
              <w:pStyle w:val="FirstParagraph"/>
            </w:pPr>
            <w:r>
              <w:t xml:space="preserve">[9, Ch. 6], [10, Ch. 4]</w:t>
            </w:r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With the canonical link,</w:t>
            </w:r>
            <w:r>
              <w:t xml:space="preserve"> </w:t>
            </w:r>
            <w:r>
              <w:t xml:space="preserve">the natural parameter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its linear predictor:</w:t>
            </w:r>
          </w:p>
          <w:p>
            <w:pPr>
              <w:pStyle w:val="BodyText"/>
            </w:pPr>
            <w:r>
              <w:t xml:space="preserve">$$
    \begin{aligned}
    \theta_i &amp;= g(\mu_i)
    &amp;&amp; \text{(definition of the canonical link)}
    \\ &amp;= \eta(\mathord{\smash[b]{\underset{\raise.3ex\hbox{$\scriptstyle\sim$}}{x}}\vphantom{x}}_i)
    &amp;&amp; \text{(definition of the link function)}
    \\ &amp;= {\mathord{\smash[b]{\underset{\raise.3ex\hbox{$\scriptstyle\sim$}}{x}}\vphantom{x}}_i}^{\top}\mathord{\smash[b]{\underset{\raise.3ex\hbox{$\scriptstyle\sim$}}{\beta}}\vphantom{\beta}}
    &amp;&amp; \text{(definition of the linear predictor)}
    \end{aligned}
    $$</w:t>
            </w:r>
          </w:p>
          <w:p>
            <w:pPr>
              <w:pStyle w:val="FirstParagraph"/>
            </w:pPr>
            <w:r>
              <w:t xml:space="preserve">The log-likelihood contribution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\ell_i(\mathord{\smash[b]{\underset{\raise.3ex\hbox{$\scriptstyle\sim$}}{\beta}}\vphantom{\beta}})
    \stackrel{\text{def}}{=}\frac{y_i \theta_i - b(\theta_i)}{\phi} + c(y_i, \phi),
    $$</w:t>
            </w:r>
          </w:p>
          <w:p>
            <w:pPr>
              <w:pStyle w:val="FirstParagraph"/>
            </w:pPr>
            <w:r>
              <w:t xml:space="preserve">and its derivative with respect to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mean is 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derivative of</w:t>
            </w:r>
            <w:r>
              <w:t xml:space="preserve"> </w:t>
            </w:r>
            <w:r>
              <w:t xml:space="preserve">$\theta_i = {\mathord{\smash[b]{\underset{\raise.3ex\hbox{$\scriptstyle\sim$}}{x}}\vphantom{x}}_i}^{\top}\mathord{\smash[b]{\underset{\raise.3ex\hbox{$\scriptstyle\sim$}}{\beta}}\vphantom{\beta}}$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the vector</w:t>
            </w:r>
            <w:r>
              <w:t xml:space="preserve"> </w:t>
            </w:r>
            <w:r>
              <w:t xml:space="preserve">$\underbrace{\mathord{\smash[b]{\underset{\raise.3ex\hbox{$\scriptstyle\sim$}}{x}}\vphantom{x}}_i}_{(p+1) \times 1}$</w:t>
            </w:r>
            <w:r>
              <w:t xml:space="preserve">.</w:t>
            </w:r>
            <w:r>
              <w:t xml:space="preserve"> </w:t>
            </w:r>
            <w:r>
              <w:t xml:space="preserve">So, by the chain rule: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 \ell_i}_{(p+1) \times 1}
    &amp;= \underbrace{\frac{\partial}{\partial \mathord{\smash[b]{\underset{\raise.3ex\hbox{$\scriptstyle\sim$}}{\beta}}\vphantom{\beta}}} \theta_i}_{(p+1) \times 1} \underbrace{\frac{\partial}{\partial \theta_i} \ell_i}_{1 \times 1}
    &amp;&amp; \text{(chain rule)}
    \\ &amp;= \mathord{\smash[b]{\underset{\raise.3ex\hbox{$\scriptstyle\sim$}}{x}}\vphantom{x}}_i \frac{y_i - \mu_i}{\phi}
    &amp;&amp; \text{(substitute both derivatives)}
    \end{aligned}
    $$</w:t>
            </w:r>
          </w:p>
          <w:p>
            <w:pPr>
              <w:pStyle w:val="FirstParagraph"/>
            </w:pPr>
            <w:r>
              <w:t xml:space="preserve">The outcomes are independent,</w:t>
            </w:r>
            <w:r>
              <w:t xml:space="preserve"> </w:t>
            </w:r>
            <w:r>
              <w:t xml:space="preserve">so the log-likelihood is the sum</w:t>
            </w:r>
            <w:r>
              <w:t xml:space="preserve"> </w:t>
            </w:r>
            <w:r>
              <w:t xml:space="preserve">$\ell(\mathord{\smash[b]{\underset{\raise.3ex\hbox{$\scriptstyle\sim$}}{\beta}}\vphantom{\beta}}) = \sum_{i=1}^n\ell_i(\mathord{\smash[b]{\underset{\raise.3ex\hbox{$\scriptstyle\sim$}}{\beta}}\vphantom{\beta}})$</w:t>
            </w:r>
            <w:r>
              <w:t xml:space="preserve">, and: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\mathord{\smash[b]{\underset{\raise.3ex\hbox{$\scriptstyle\sim$}}{\ell'}}\vphantom{\ell'}}(\mathord{\smash[b]{\underset{\raise.3ex\hbox{$\scriptstyle\sim$}}{\beta}}\vphantom{\beta}})
    &amp;= \sum_{i=1}^n\frac{\partial}{\partial \mathord{\smash[b]{\underset{\raise.3ex\hbox{$\scriptstyle\sim$}}{\beta}}\vphantom{\beta}}} \ell_i
    &amp;&amp; \text{(derivative of a sum)}
    \\ &amp;= \sum_{i=1}^n\mathord{\smash[b]{\underset{\raise.3ex\hbox{$\scriptstyle\sim$}}{x}}\vphantom{x}}_i \frac{y_i - \mu_i}{\phi}
    &amp;&amp; \text{(substitute each term)}
    \\ &amp;= \frac{1}{\phi} \sum_{i=1}^n\mathord{\smash[b]{\underset{\raise.3ex\hbox{$\scriptstyle\sim$}}{x}}\vphantom{x}}_i (y_i - \mu_i)
    &amp;&amp; \text{(factor out } 1/\phi\text{)}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exm-canonical-score"/>
          <w:p>
            <w:pPr>
              <w:pStyle w:val="BodyText"/>
            </w:pPr>
            <w:r>
              <w:rPr>
                <w:b/>
                <w:bCs/>
              </w:rPr>
              <w:t xml:space="preserve">Example 18 (Score of a logistic model)</w:t>
            </w:r>
            <w:r>
              <w:t xml:space="preserve"> </w:t>
            </w:r>
            <w:r>
              <w:t xml:space="preserve">Logistic regression uses the canonical link for a Bernoulli outcome</w:t>
            </w:r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 with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applies.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$\mathord{\smash[b]{\underset{\raise.3ex\hbox{$\scriptstyle\sim$}}{x}}\vphantom{x}}_i = {(1, x_i)}^{\top}$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evaluate the score at</w:t>
            </w:r>
            <w:r>
              <w:t xml:space="preserve"> </w:t>
            </w:r>
            <w:r>
              <w:t xml:space="preserve">$\mathord{\smash[b]{\underset{\raise.3ex\hbox{$\scriptstyle\sim$}}{\beta}}\vphantom{\beta}}= {(0, 1)}^{\top}$</w:t>
            </w:r>
            <w:r>
              <w:t xml:space="preserve">.</w:t>
            </w:r>
            <w:r>
              <w:t xml:space="preserve"> </w:t>
            </w:r>
            <w:r>
              <w:t xml:space="preserve">The fitted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0.5000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-0.5000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0.7311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0.2689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0.8808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0.1192</w:t>
                  </w:r>
                </w:p>
              </w:tc>
            </w:tr>
          </w:tbl>
          <w:p>
            <w:pPr>
              <w:pStyle w:val="BodyText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\mathord{\smash[b]{\underset{\raise.3ex\hbox{$\scriptstyle\sim$}}{\ell'}}\vphantom{\ell'}}\mathopen{}\left({(0, 1)}^{\top}\right)\mathclose{}
    &amp;= \sum_{i=1}^3 \begin{pmatrix} 1 \\ x_i \end{pmatrix} (y_i - \mu_i)
    &amp;&amp; \text{(canonical-link score, with } \phi = 1\text{)}
    \\ &amp;= \begin{pmatrix} -0.5000 + 0.2689 + 0.1192 \\ 0 \cdot (-0.5000) + 1 \cdot 0.2689 + 2 \cdot 0.1192 \end{pmatrix}
    &amp;&amp; \text{(substitute the table)}
    \\ &amp;= \begin{pmatrix} -0.1119 \\ 0.5073 \end{pmatrix}
    &amp;&amp; \text{(add)}
    \end{aligned}
    $$</w:t>
            </w:r>
          </w:p>
          <w:p>
            <w:pPr>
              <w:pStyle w:val="FirstParagraph"/>
            </w:pPr>
            <w:r>
              <w:t xml:space="preserve">The second component is positive,</w:t>
            </w:r>
            <w:r>
              <w:t xml:space="preserve"> </w:t>
            </w:r>
            <w:r>
              <w:t xml:space="preserve">so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would increase the log-likelihood.</w:t>
            </w:r>
          </w:p>
          <w:bookmarkEnd w:id="176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derives this score directly from the Bernoulli likelihood,</w:t>
      </w:r>
      <w:r>
        <w:t xml:space="preserve"> </w:t>
      </w:r>
      <w:r>
        <w:t xml:space="preserve">and the</w:t>
      </w:r>
      <w:r>
        <w:t xml:space="preserve"> </w:t>
      </w:r>
      <w:hyperlink r:id="rId178">
        <w:r>
          <w:rPr>
            <w:rStyle w:val="Hyperlink"/>
          </w:rPr>
          <w:t xml:space="preserve">Poisson score exercise</w:t>
        </w:r>
      </w:hyperlink>
      <w:r>
        <w:t xml:space="preserve"> </w:t>
      </w:r>
      <w:r>
        <w:t xml:space="preserve">gives the same form for the log link.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noncanonical-score"/>
          <w:p>
            <w:pPr>
              <w:pStyle w:val="BodyText"/>
            </w:pPr>
            <w:r>
              <w:rPr>
                <w:b/>
                <w:bCs/>
              </w:rPr>
              <w:t xml:space="preserve">Example 19 (Score of a Poisson model with the identity link (counterexample))</w:t>
            </w:r>
            <w:r>
              <w:t xml:space="preserve"> </w:t>
            </w:r>
            <w:r>
              <w:t xml:space="preserve">With a non-canonical link,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need not hold.</w:t>
            </w:r>
            <w:r>
              <w:t xml:space="preserve"> </w:t>
            </w:r>
            <w:r>
              <w:t xml:space="preserve">Take a Poisson outcome with the identity link,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$\mu_i = {\mathord{\smash[b]{\underset{\raise.3ex\hbox{$\scriptstyle\sim$}}{x}}\vphantom{x}}_i}^{\top}\mathord{\smash[b]{\underset{\raise.3ex\hbox{$\scriptstyle\sim$}}{\beta}}\vphantom{\beta}}$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 log-likelihood contribution is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\frac{\partial}{\partial \mathord{\smash[b]{\underset{\raise.3ex\hbox{$\scriptstyle\sim$}}{\beta}}\vphantom{\beta}}} \ell_i
    &amp;= \frac{\partial}{\partial \mathord{\smash[b]{\underset{\raise.3ex\hbox{$\scriptstyle\sim$}}{\beta}}\vphantom{\beta}}}\mu_i \cdot \frac{\partial}{\partial \mu_i}\ell_i
    &amp;&amp; \text{(chain rule)}
    \\ &amp;= \mathord{\smash[b]{\underset{\raise.3ex\hbox{$\scriptstyle\sim$}}{x}}\vphantom{x}}_i \mathopen{}\left(\frac{y_i}{\mu_i} - 1\right)\mathclose{}
    &amp;&amp; \text{(differentiate each factor)}
    \\ &amp;= \mathord{\smash[b]{\underset{\raise.3ex\hbox{$\scriptstyle\sim$}}{x}}\vphantom{x}}_i \frac{y_i - \mu_i}{\mu_i}
    &amp;&amp; \text{(common denominator)}
    \end{aligned}
    $$</w:t>
            </w:r>
          </w:p>
          <w:p>
            <w:pPr>
              <w:pStyle w:val="FirstParagraph"/>
            </w:pPr>
            <w:r>
              <w:t xml:space="preserve">Each residual is divided by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 instance, take</w:t>
            </w:r>
            <w:r>
              <w:t xml:space="preserve"> </w:t>
            </w:r>
            <w:r>
              <w:t xml:space="preserve">$\mathord{\smash[b]{\underset{\raise.3ex\hbox{$\scriptstyle\sim$}}{\beta}}\vphantom{\beta}}= {(1, 1)}^{\top}$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score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bookmarkEnd w:id="179"/>
        </w:tc>
      </w:tr>
    </w:tbl>
    <w:bookmarkEnd w:id="180"/>
    <w:bookmarkEnd w:id="181"/>
    <w:bookmarkStart w:id="222" w:name="sec-glm-fitting"/>
    <w:p>
      <w:pPr>
        <w:pStyle w:val="Heading1"/>
      </w:pPr>
      <w:r>
        <w:t xml:space="preserve">10. The model fitting process</w:t>
      </w:r>
    </w:p>
    <w:p>
      <w:pPr>
        <w:pStyle w:val="FirstParagraph"/>
      </w:pPr>
      <w:r>
        <w:t xml:space="preserve">The rest of this chapter is adapted from</w:t>
      </w:r>
      <w:r>
        <w:t xml:space="preserve"> </w:t>
      </w:r>
      <w:r>
        <w:t xml:space="preserve">Dobson and Barnett [10, Ch. 2]</w:t>
      </w:r>
      <w:r>
        <w:t xml:space="preserve">.</w:t>
      </w:r>
    </w:p>
    <w:p>
      <w:pPr>
        <w:pStyle w:val="BodyText"/>
      </w:pPr>
      <w:r>
        <w:t xml:space="preserve">Dobson and Barnett [10, Sec. 2.1]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37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37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37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37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[10]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[10, Sec. 2.3.1]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92" w:name="step-0-exploratory-data-analysis"/>
    <w:p>
      <w:pPr>
        <w:pStyle w:val="Heading2"/>
      </w:pPr>
      <w:r>
        <w:t xml:space="preserve">10.1 Step 0: Exploratory data analysis</w:t>
      </w:r>
    </w:p>
    <w:p>
      <w:pPr>
        <w:pStyle w:val="FirstParagraph"/>
      </w:pPr>
      <w:r>
        <w:t xml:space="preserve">Dobson and Barnett [10, Sec. 2.3.1]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38"/>
        </w:numPr>
      </w:pPr>
      <w:r>
        <w:t xml:space="preserve">What is the scale of measurement?</w:t>
      </w:r>
      <w:r>
        <w:t xml:space="preserve"> </w:t>
      </w:r>
      <w:r>
        <w:t xml:space="preserve">Is it</w:t>
      </w:r>
      <w:r>
        <w:t xml:space="preserve"> </w:t>
      </w:r>
      <w:hyperlink r:id="rId18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r:id="rId183">
        <w:r>
          <w:rPr>
            <w:rStyle w:val="Hyperlink"/>
          </w:rPr>
          <w:t xml:space="preserve">categorical</w:t>
        </w:r>
      </w:hyperlink>
      <w:r>
        <w:t xml:space="preserve">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</w:t>
      </w:r>
      <w:r>
        <w:t xml:space="preserve"> </w:t>
      </w:r>
      <w:hyperlink r:id="rId184">
        <w:r>
          <w:rPr>
            <w:rStyle w:val="Hyperlink"/>
          </w:rPr>
          <w:t xml:space="preserve">nominal</w:t>
        </w:r>
      </w:hyperlink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ordinal</w:t>
        </w:r>
      </w:hyperlink>
      <w:r>
        <w:t xml:space="preserve">?</w:t>
      </w:r>
    </w:p>
    <w:p>
      <w:pPr>
        <w:pStyle w:val="BlockText"/>
        <w:numPr>
          <w:ilvl w:val="0"/>
          <w:numId w:val="1038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hyperlink r:id="rId185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38"/>
        </w:numPr>
      </w:pPr>
      <w:r>
        <w:t xml:space="preserve">How is it associated with other variables?</w:t>
      </w:r>
      <w:r>
        <w:t xml:space="preserve"> </w:t>
      </w:r>
      <w:hyperlink r:id="rId46">
        <w:r>
          <w:rPr>
            <w:rStyle w:val="Hyperlink"/>
          </w:rPr>
          <w:t xml:space="preserve">Cross tabulations</w:t>
        </w:r>
      </w:hyperlink>
      <w:r>
        <w:t xml:space="preserve"> </w:t>
      </w:r>
      <w:r>
        <w:t xml:space="preserve">for categorical variables,</w:t>
      </w:r>
      <w:r>
        <w:t xml:space="preserve"> </w:t>
      </w:r>
      <w:hyperlink r:id="rId186">
        <w:r>
          <w:rPr>
            <w:rStyle w:val="Hyperlink"/>
          </w:rPr>
          <w:t xml:space="preserve">scatter plots</w:t>
        </w:r>
      </w:hyperlink>
      <w:r>
        <w:t xml:space="preserve"> </w:t>
      </w:r>
      <w:r>
        <w:t xml:space="preserve">for continuous variables,</w:t>
      </w:r>
      <w:r>
        <w:t xml:space="preserve"> </w:t>
      </w:r>
      <w:r>
        <w:t xml:space="preserve">side-by-side</w:t>
      </w:r>
      <w:r>
        <w:t xml:space="preserve"> </w:t>
      </w:r>
      <w:hyperlink r:id="rId187">
        <w:r>
          <w:rPr>
            <w:rStyle w:val="Hyperlink"/>
          </w:rPr>
          <w:t xml:space="preserve">boxplots</w:t>
        </w:r>
      </w:hyperlink>
      <w:r>
        <w:t xml:space="preserve"> </w:t>
      </w:r>
      <w:r>
        <w:t xml:space="preserve">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exm-chronic-eda"/>
          <w:p>
            <w:pPr>
              <w:pStyle w:val="BodyText"/>
            </w:pPr>
            <w:r>
              <w:rPr>
                <w:b/>
                <w:bCs/>
              </w:rPr>
              <w:t xml:space="preserve">Example 20 (Exploring the chronic medical conditions data)</w:t>
            </w:r>
            <w:r>
              <w:t xml:space="preserve"> </w:t>
            </w:r>
            <w:r>
              <w:t xml:space="preserve">Dobson and Barnett [10, Sec. 2.2.1], Table 2.1</w:t>
            </w:r>
            <w:r>
              <w:t xml:space="preserve"> </w:t>
            </w:r>
            <w:r>
              <w:t xml:space="preserve">reports the number of chronic medical conditions</w:t>
            </w:r>
            <w:r>
              <w:t xml:space="preserve"> </w:t>
            </w:r>
            <w:r>
              <w:t xml:space="preserve">for 26 women living in a town</w:t>
            </w:r>
            <w:r>
              <w:t xml:space="preserve"> </w:t>
            </w:r>
            <w:r>
              <w:t xml:space="preserve">and 23 women living in the country,</w:t>
            </w:r>
            <w:r>
              <w:t xml:space="preserve"> </w:t>
            </w:r>
            <w:r>
              <w:t xml:space="preserve">all attending general practitioners.</w:t>
            </w:r>
            <w:r>
              <w:t xml:space="preserve"> </w:t>
            </w:r>
            <w:r>
              <w:t xml:space="preserve">We will carry this dataset through all four steps of the model fitting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875"/>
              <w:gridCol w:w="43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Column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dobson::chronic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number of chronic medical conditions reported by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number</w:t>
                  </w:r>
                  <w:r>
                    <w:t xml:space="preserve"> </w:t>
                  </w:r>
                  <w:r>
                    <w:t xml:space="preserve">(copied 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conditions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indicator that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lives in the country (</w:t>
                  </w:r>
                  <m:oMath>
                    <m:r>
                      <m:t>1</m:t>
                    </m:r>
                  </m:oMath>
                  <w:r>
                    <w:t xml:space="preserve">) rather than the town (</w:t>
                  </w:r>
                  <m:oMath>
                    <m:r>
                      <m:t>0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derived from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place</w:t>
                  </w:r>
                  <w:r>
                    <w:t xml:space="preserve"> </w:t>
                  </w:r>
                  <w:r>
                    <w:t xml:space="preserve">(stored as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country</w:t>
                  </w:r>
                  <w:r>
                    <w:t xml:space="preserve">)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(chronic,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residence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</w:t>
            </w:r>
          </w:p>
          <w:p>
            <w:pPr>
              <w:pStyle w:val="FirstParagraph"/>
            </w:pPr>
            <w:r>
              <w:t xml:space="preserve">Following the three questions of</w:t>
            </w:r>
            <w:r>
              <w:t xml:space="preserve"> </w:t>
            </w:r>
            <w:r>
              <w:t xml:space="preserve">Dobson and Barnett [10, Sec. 2.3.1]</w:t>
            </w:r>
            <w:r>
              <w:t xml:space="preserve">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 its scale of measurement is discrete and non-negative;</w:t>
            </w:r>
            <w:r>
              <w:t xml:space="preserve"> </w:t>
            </w:r>
            <w:r>
              <w:t xml:space="preserve">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binary</w:t>
              </w:r>
            </w:hyperlink>
            <w:r>
              <w:t xml:space="preserve"> </w:t>
            </w:r>
            <w:r>
              <w:t xml:space="preserve">(</w:t>
            </w:r>
            <w:hyperlink r:id="rId184">
              <w:r>
                <w:rPr>
                  <w:rStyle w:val="Hyperlink"/>
                </w:rPr>
                <w:t xml:space="preserve">nominal</w:t>
              </w:r>
            </w:hyperlink>
            <w:r>
              <w:t xml:space="preserve">)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indicator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9"/>
              </w:numPr>
            </w:pPr>
            <w:hyperlink w:anchor="tbl-chronic-counts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shows the frequency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each group.</w:t>
            </w:r>
            <w:r>
              <w:t xml:space="preserve"> </w:t>
            </w:r>
            <w:r>
              <w:t xml:space="preserve">Both distributions are right-skewed,</w:t>
            </w:r>
            <w:r>
              <w:t xml:space="preserve"> </w:t>
            </w:r>
            <w:r>
              <w:t xml:space="preserve">with most women reporting zero, one, or two conditions.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mean number of conditions among all women might differ between town and country.</w:t>
            </w:r>
            <w:r>
              <w:t xml:space="preserve"> </w:t>
            </w:r>
            <w:r>
              <w:t xml:space="preserve">In these data, the town women report more conditions on average</w:t>
            </w:r>
            <w:r>
              <w:t xml:space="preserve"> </w:t>
            </w:r>
            <w:r>
              <w:t xml:space="preserve">(</w:t>
            </w:r>
            <w:hyperlink r:id="rId189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1.423)</w:t>
            </w:r>
            <w:r>
              <w:t xml:space="preserve"> </w:t>
            </w:r>
            <w:r>
              <w:t xml:space="preserve">than the country women</w:t>
            </w:r>
            <w:r>
              <w:t xml:space="preserve"> </w:t>
            </w:r>
            <w:r>
              <w:t xml:space="preserve">(sample mean 0.913),</w:t>
            </w:r>
            <w:r>
              <w:t xml:space="preserve"> </w:t>
            </w:r>
            <w:r>
              <w:t xml:space="preserve">so residence might be associated with the outcome.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90" w:name="tbl-chronic-coun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4: Frequency distribution of the number of chronic medical conditions,</w:t>
                        </w:r>
                        <w:r>
                          <w:t xml:space="preserve"> </w:t>
                        </w:r>
                        <w:r>
                          <w:t xml:space="preserve">by residence</w:t>
                        </w:r>
                        <w:r>
                          <w:t xml:space="preserve"> </w:t>
                        </w:r>
                        <w:r>
                          <w:t xml:space="preserve">[10, Sec. 2.2.1], Table 2.1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table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residence =</w:t>
                        </w:r>
                        <w:r>
                          <w:rPr>
                            <w:rStyle w:val="NormalTok"/>
                          </w:rPr>
                          <w:t xml:space="preserve"> 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residence,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conditions =</w:t>
                        </w:r>
                        <w:r>
                          <w:rPr>
                            <w:rStyle w:val="NormalTok"/>
                          </w:rPr>
                          <w:t xml:space="preserve"> 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conditions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  conditions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residence  0  1  2  3  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town     6 10  4  5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country  9  8  5  1  0</w:t>
                        </w:r>
                      </w:p>
                      <w:bookmarkEnd w:id="190"/>
                    </w:tc>
                  </w:tr>
                </w:tbl>
              </w:tc>
            </w:tr>
          </w:tbl>
          <w:bookmarkEnd w:id="191"/>
        </w:tc>
      </w:tr>
    </w:tbl>
    <w:bookmarkEnd w:id="192"/>
    <w:bookmarkStart w:id="194" w:name="step-1-model-specification"/>
    <w:p>
      <w:pPr>
        <w:pStyle w:val="Heading2"/>
      </w:pPr>
      <w:r>
        <w:t xml:space="preserve">10.2 Step 1: Model specification</w:t>
      </w:r>
    </w:p>
    <w:p>
      <w:pPr>
        <w:pStyle w:val="FirstParagraph"/>
      </w:pPr>
      <w:r>
        <w:t xml:space="preserve">Dobson and Barnett [10, Sec. 2.3.2]</w:t>
      </w:r>
      <w:r>
        <w:t xml:space="preserve"> </w:t>
      </w:r>
      <w:r>
        <w:t xml:space="preserve">describes model specification</w:t>
      </w:r>
      <w:r>
        <w:t xml:space="preserve"> </w:t>
      </w:r>
      <w:r>
        <w:t xml:space="preserve">as choosing two parts:</w:t>
      </w:r>
      <w:r>
        <w:t xml:space="preserve"> </w:t>
      </w:r>
      <w:r>
        <w:t xml:space="preserve">an equation linking the expected outcome to the explanatory variables,</w:t>
      </w:r>
      <w:r>
        <w:t xml:space="preserve"> </w:t>
      </w:r>
      <w:r>
        <w:t xml:space="preserve">and a probability distribution for the outcome.</w:t>
      </w:r>
      <w:r>
        <w:t xml:space="preserve"> </w:t>
      </w:r>
      <w:r>
        <w:t xml:space="preserve">For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those two parts are the three components in the solution to</w:t>
      </w:r>
      <w:r>
        <w:t xml:space="preserve"> </w:t>
      </w:r>
      <w:hyperlink w:anchor="exr-glm-structure">
        <w:r>
          <w:rPr>
            <w:rStyle w:val="Hyperlink"/>
          </w:rPr>
          <w:t xml:space="preserve">Exercise 4</w:t>
        </w:r>
      </w:hyperlink>
      <w:r>
        <w:t xml:space="preserve">:</w:t>
      </w:r>
      <w:r>
        <w:t xml:space="preserve"> </w:t>
      </w:r>
      <w:r>
        <w:t xml:space="preserve">an outcome distribution,</w:t>
      </w:r>
      <w:r>
        <w:t xml:space="preserve"> </w:t>
      </w:r>
      <w:r>
        <w:t xml:space="preserve">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3" w:name="exm-chronic-spec"/>
          <w:p>
            <w:pPr>
              <w:pStyle w:val="BodyText"/>
            </w:pPr>
            <w:r>
              <w:rPr>
                <w:b/>
                <w:bCs/>
              </w:rPr>
              <w:t xml:space="preserve">Example 21 (Specifying a model for the chronic medical conditions data)</w:t>
            </w:r>
            <w:r>
              <w:t xml:space="preserve"> </w:t>
            </w:r>
            <w:r>
              <w:t xml:space="preserve">The outcome in</w:t>
            </w:r>
            <w:r>
              <w:t xml:space="preserve"> </w:t>
            </w:r>
            <w:hyperlink w:anchor="exm-chronic-eda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is a count with no fixed upper limit,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is a natural first choice.</w:t>
            </w:r>
            <w:r>
              <w:t xml:space="preserve"> </w:t>
            </w:r>
            <w:r>
              <w:t xml:space="preserve">Since a Poisson mean must be positive,</w:t>
            </w:r>
            <w:r>
              <w:t xml:space="preserve"> </w:t>
            </w:r>
            <w:r>
              <w:t xml:space="preserve">we pair the Poisson distribution with the log link</w:t>
            </w:r>
            <w:r>
              <w:t xml:space="preserve"> </w:t>
            </w:r>
            <w:r>
              <w:t xml:space="preserve">(which is also its canonical link;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sec-canonical-link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Pois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this model,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number of conditions for town women,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for country women,</w:t>
            </w:r>
            <w:r>
              <w:t xml:space="preserve"> </w:t>
            </w:r>
            <w:r>
              <w:t xml:space="preserve">so the ratio of the two group means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the two group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93"/>
        </w:tc>
      </w:tr>
    </w:tbl>
    <w:bookmarkEnd w:id="194"/>
    <w:bookmarkStart w:id="204" w:name="step-2-parameter-estimation"/>
    <w:p>
      <w:pPr>
        <w:pStyle w:val="Heading2"/>
      </w:pPr>
      <w:r>
        <w:t xml:space="preserve">10.3 Step 2: Parameter estimation</w:t>
      </w:r>
    </w:p>
    <w:p>
      <w:pPr>
        <w:pStyle w:val="FirstParagraph"/>
      </w:pPr>
      <w:r>
        <w:t xml:space="preserve">Dobson and Barnett [10, Sec. 2.3.3]</w:t>
      </w:r>
      <w:r>
        <w:t xml:space="preserve"> </w:t>
      </w:r>
      <w:r>
        <w:t xml:space="preserve">describes the next step as estimating the model’s parameters,</w:t>
      </w:r>
      <w:r>
        <w:t xml:space="preserve"> </w:t>
      </w:r>
      <w:r>
        <w:t xml:space="preserve">for example by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or by</w:t>
      </w:r>
      <w:r>
        <w:t xml:space="preserve"> </w:t>
      </w:r>
      <w:hyperlink r:id="rId195">
        <w:r>
          <w:rPr>
            <w:rStyle w:val="Hyperlink"/>
          </w:rPr>
          <w:t xml:space="preserve">least squares</w:t>
        </w:r>
      </w:hyperlink>
      <w:r>
        <w:t xml:space="preserve">.</w:t>
      </w:r>
      <w:r>
        <w:t xml:space="preserve"> </w:t>
      </w:r>
      <w:r>
        <w:t xml:space="preserve">The model structure from Step 1</w:t>
      </w:r>
      <w:r>
        <w:t xml:space="preserve"> </w:t>
      </w:r>
      <w:r>
        <w:t xml:space="preserve">does not dictate the estimation method;</w:t>
      </w:r>
      <w:r>
        <w:t xml:space="preserve"> </w:t>
      </w:r>
      <w:r>
        <w:t xml:space="preserve">in this chapter we use maximum likelihood,</w:t>
      </w:r>
      <w:r>
        <w:t xml:space="preserve"> </w:t>
      </w:r>
      <w:r>
        <w:t xml:space="preserve">which chooses the parameter values that make the observed data most probable.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8" w:name="exm-chronic-mle"/>
          <w:p>
            <w:pPr>
              <w:pStyle w:val="BodyText"/>
            </w:pPr>
            <w:r>
              <w:rPr>
                <w:b/>
                <w:bCs/>
              </w:rPr>
              <w:t xml:space="preserve">Example 22 (Maximum likelihood estimates for the chronic medical conditions model)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23</m:t>
              </m:r>
            </m:oMath>
            <w:r>
              <w:t xml:space="preserve"> </w:t>
            </w:r>
            <w:r>
              <w:t xml:space="preserve">for the group sizes,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the group sample means.</w:t>
            </w:r>
            <w:r>
              <w:t xml:space="preserve"> </w:t>
            </w:r>
            <w:r>
              <w:t xml:space="preserve">For the model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sSub>
                                      <m:e>
                                        <m: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sup>
                                </m:sSubSup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sup>
                                </m:sSup>
                              </m:num>
                              <m:den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!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 Poisson outcomes)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a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link: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Differentiating term by term gives the two components 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country women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town women,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r>
                <m:t>ℓ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from the first leaves only the town women,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exactly when woman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lives in the town: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the two score equations)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logs of both solutions gives the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country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town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ybar_town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ybar_country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b0_hat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(ybar_town)</w:t>
            </w:r>
            <w:r>
              <w:br/>
            </w:r>
            <w:r>
              <w:rPr>
                <w:rStyle w:val="NormalTok"/>
              </w:rPr>
              <w:t xml:space="preserve">b1_hat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(ybar_country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ybar_town)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chronic_glm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conditions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country,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chronic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(chronic_glm)</w:t>
            </w:r>
            <w:r>
              <w:br/>
            </w:r>
            <w:r>
              <w:rPr>
                <w:rStyle w:val="CommentTok"/>
              </w:rPr>
              <w:t xml:space="preserve">#&gt; (Intercept)     country </w:t>
            </w:r>
            <w:r>
              <w:br/>
            </w:r>
            <w:r>
              <w:rPr>
                <w:rStyle w:val="CommentTok"/>
              </w:rPr>
              <w:t xml:space="preserve">#&gt;    0.352821   -0.443793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1.4231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23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0.9130,</w:t>
            </w:r>
            <w:r>
              <w:t xml:space="preserve"> </w:t>
            </w:r>
            <w:r>
              <w:t xml:space="preserve">the closed-form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0.3528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-0.4438,</w:t>
            </w:r>
            <w:r>
              <w:t xml:space="preserve"> </w:t>
            </w:r>
            <w:r>
              <w:t xml:space="preserve">matching the coefficients that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 </w:t>
            </w:r>
            <w:r>
              <w:t xml:space="preserve">finds numerically.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fitted means</w:t>
              </w:r>
            </w:hyperlink>
            <w:r>
              <w:t xml:space="preserve"> </w:t>
            </w:r>
            <w:r>
              <w:t xml:space="preserve">are the group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sample means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for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country women.</w:t>
            </w:r>
          </w:p>
          <w:bookmarkEnd w:id="1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exm-chronic-concavity"/>
          <w:p>
            <w:pPr>
              <w:pStyle w:val="BodyText"/>
            </w:pPr>
            <w:r>
              <w:rPr>
                <w:b/>
                <w:bCs/>
              </w:rPr>
              <w:t xml:space="preserve">Example 23 (Checking that the chronic medical conditions estimates are a maximum)</w:t>
            </w:r>
            <w:r>
              <w:t xml:space="preserve"> </w:t>
            </w:r>
            <w:r>
              <w:t xml:space="preserve">To confirm that the estimates 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maximize the log-likelihood,</w:t>
            </w:r>
            <w:r>
              <w:t xml:space="preserve"> </w:t>
            </w:r>
            <w:r>
              <w:t xml:space="preserve">differentiate the score components once more,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r:id="rId199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Writing</w:t>
            </w:r>
            <w:r>
              <w:t xml:space="preserve"> </w:t>
            </w:r>
            <w:r>
              <w:t xml:space="preserve">$\mathord{\smash[b]{\underset{\raise.3ex\hbox{$\scriptstyle\sim$}}{x}}\vphantom{x}}_i \stackrel{\text{def}}{=}{(1, x_i)}^{\top}$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\beta_1)}^{\top}$</w:t>
            </w:r>
            <w:r>
              <w:t xml:space="preserve">,</w:t>
            </w:r>
            <w:r>
              <w:t xml:space="preserve"> </w:t>
            </w:r>
            <w:r>
              <w:t xml:space="preserve">these three second derivatives are the entries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Hessian matrix</w:t>
              </w:r>
            </w:hyperlink>
          </w:p>
          <w:p>
            <w:pPr>
              <w:pStyle w:val="BodyText"/>
            </w:pPr>
            <w:r>
              <w:t xml:space="preserve">$$
    \underbrace{{\ell''\mathopen{}\left(\mathord{\smash[b]{\underset{\raise.3ex\hbox{$\scriptstyle\sim$}}{\beta}}\vphantom{\beta}}\right)\mathclose{}}}_{2 \times 2}
    = -\sum_{i=1}^{49} \mu_i
    \underbrace{\mathord{\smash[b]{\underset{\raise.3ex\hbox{$\scriptstyle\sim$}}{x}}\vphantom{x}}_i}_{2 \times 1}
    \underbrace{{\mathord{\smash[b]{\underset{\raise.3ex\hbox{$\scriptstyle\sim$}}{x}}\vphantom{x}}_i}^{\top}}_{1 \times 2},
    \quad \text{since} \quad
    \underbrace{\mathord{\smash[b]{\underset{\raise.3ex\hbox{$\scriptstyle\sim$}}{x}}\vphantom{x}}_i}_{2 \times 1}
    \underbrace{{\mathord{\smash[b]{\underset{\raise.3ex\hbox{$\scriptstyle\sim$}}{x}}\vphantom{x}}_i}^{\top}}_{1 \times 2}
    = \underbrace{\begin{pmatrix}1 &amp; x_i \\ x_i &amp; x_i^2\end{pmatrix}}_{2 \times 2}.
    $$</w:t>
            </w:r>
          </w:p>
          <w:p>
            <w:pPr>
              <w:pStyle w:val="FirstParagraph"/>
            </w:pPr>
            <w:r>
              <w:t xml:space="preserve">For any nonzero vector</w:t>
            </w:r>
            <w:r>
              <w:t xml:space="preserve"> </w:t>
            </w:r>
            <w:r>
              <w:t xml:space="preserve">$\underbrace{\mathord{\smash[b]{\underset{\raise.3ex\hbox{$\scriptstyle\sim$}}{a}}\vphantom{a}}}_{2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${\mathord{\smash[b]{\underset{\raise.3ex\hbox{$\scriptstyle\sim$}}{a}}\vphantom{a}}}^{\top} {\ell''\mathopen{}\left(\mathord{\smash[b]{\underset{\raise.3ex\hbox{$\scriptstyle\sim$}}{\beta}}\vphantom{\beta}}\right)\mathclose{}} \mathord{\smash[b]{\underset{\raise.3ex\hbox{$\scriptstyle\sim$}}{a}}\vphantom{a}} = -\sum_{i=1}^{49} \mu_i \mathopen{}\left({\mathord{\smash[b]{\underset{\raise.3ex\hbox{$\scriptstyle\sim$}}{a}}\vphantom{a}}}^{\top} \mathord{\smash[b]{\underset{\raise.3ex\hbox{$\scriptstyle\sim$}}{x}}\vphantom{x}}_i\right)\mathclose{}^2 &lt; 0$</w:t>
            </w:r>
            <w:r>
              <w:t xml:space="preserve">,</w:t>
            </w:r>
            <w:r>
              <w:t xml:space="preserve"> </w:t>
            </w:r>
            <w:r>
              <w:t xml:space="preserve">because every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both groups contain women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w:r>
              <w:t xml:space="preserve">${\mathord{\smash[b]{\underset{\raise.3ex\hbox{$\scriptstyle\sim$}}{a}}\vphantom{a}}}^{\top} \mathord{\smash[b]{\underset{\raise.3ex\hbox{$\scriptstyle\sim$}}{x}}\vphantom{x}}_i \neq 0$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log-likelihood is therefore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strictly 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we found is its unique maximum.</w:t>
            </w:r>
          </w:p>
          <w:bookmarkEnd w:id="203"/>
        </w:tc>
      </w:tr>
    </w:tbl>
    <w:bookmarkEnd w:id="204"/>
    <w:bookmarkStart w:id="215" w:name="step-3-checking-model-adequacy"/>
    <w:p>
      <w:pPr>
        <w:pStyle w:val="Heading2"/>
      </w:pPr>
      <w:r>
        <w:t xml:space="preserve">10.4 Step 3: Checking model adequacy</w:t>
      </w:r>
    </w:p>
    <w:p>
      <w:pPr>
        <w:pStyle w:val="FirstParagraph"/>
      </w:pPr>
      <w:r>
        <w:t xml:space="preserve">Dobson and Barnett [10, Sec. 2.3.4]</w:t>
      </w:r>
      <w:r>
        <w:t xml:space="preserve"> </w:t>
      </w:r>
      <w:r>
        <w:t xml:space="preserve">describes checking a fitted model’s adequacy</w:t>
      </w:r>
      <w:r>
        <w:t xml:space="preserve"> </w:t>
      </w:r>
      <w:r>
        <w:t xml:space="preserve">by examining</w:t>
      </w:r>
      <w:r>
        <w:t xml:space="preserve"> </w:t>
      </w:r>
      <w:hyperlink r:id="rId205">
        <w:r>
          <w:rPr>
            <w:rStyle w:val="Hyperlink"/>
          </w:rPr>
          <w:t xml:space="preserve">residuals</w:t>
        </w:r>
      </w:hyperlink>
      <w:r>
        <w:t xml:space="preserve">:</w:t>
      </w:r>
      <w:r>
        <w:t xml:space="preserve"> </w:t>
      </w:r>
      <w:r>
        <w:t xml:space="preserve">summaries of how far each observation falls from its</w:t>
      </w:r>
      <w:r>
        <w:t xml:space="preserve"> </w:t>
      </w:r>
      <w:hyperlink r:id="rId197">
        <w:r>
          <w:rPr>
            <w:rStyle w:val="Hyperlink"/>
          </w:rPr>
          <w:t xml:space="preserve">fitted value</w:t>
        </w:r>
      </w:hyperlink>
      <w:r>
        <w:t xml:space="preserve">.</w:t>
      </w:r>
      <w:r>
        <w:t xml:space="preserve"> </w:t>
      </w:r>
      <w:r>
        <w:t xml:space="preserve">In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the outcome variance usually changes with the mean,</w:t>
      </w:r>
      <w:r>
        <w:t xml:space="preserve"> </w:t>
      </w:r>
      <w:r>
        <w:t xml:space="preserve">so raw differences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not on a common scale;</w:t>
      </w:r>
      <w:r>
        <w:t xml:space="preserve"> </w:t>
      </w:r>
      <w:r>
        <w:t xml:space="preserve">dividing by an estimated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puts them on one.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def-pearson-residual-glm"/>
          <w:p>
            <w:pPr>
              <w:pStyle w:val="BodyText"/>
            </w:pPr>
            <w:r>
              <w:rPr>
                <w:b/>
                <w:bCs/>
              </w:rPr>
              <w:t xml:space="preserve">Definition 16 (Pearson residual)</w:t>
            </w:r>
            <w:r>
              <w:t xml:space="preserve"> </w:t>
            </w:r>
            <w:r>
              <w:t xml:space="preserve">For a generalized linear model with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residual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[9, Ch. 7] and 8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def-pearson-chisq-glm"/>
          <w:p>
            <w:pPr>
              <w:pStyle w:val="BodyText"/>
            </w:pPr>
            <w:r>
              <w:rPr>
                <w:b/>
                <w:bCs/>
              </w:rPr>
              <w:t xml:space="preserve">Definition 17 (Pearson chi-squared statistic)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chi-squared statistic</w:t>
            </w:r>
            <w:r>
              <w:t xml:space="preserve"> </w:t>
            </w:r>
            <w:r>
              <w:t xml:space="preserve">of a generalized linear model (</w:t>
            </w:r>
            <w:hyperlink w:anchor="def-pearson-residual-glm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[9, Ch. 7] and 8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If the model is adequate and the fitted means are not too small,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w:hyperlink r:id="rId208">
        <w:r>
          <w:rPr>
            <w:rStyle w:val="Hyperlink"/>
          </w:rPr>
          <w:t xml:space="preserve">chi-squared distributed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should be close to 1;</w:t>
      </w:r>
      <w:r>
        <w:t xml:space="preserve"> </w:t>
      </w:r>
      <w:r>
        <w:t xml:space="preserve">a ratio well above 1 suggests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[9, Ch. 7]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count regression chapter</w:t>
        </w:r>
      </w:hyperlink>
      <w:r>
        <w:t xml:space="preserve"> </w:t>
      </w:r>
      <w:r>
        <w:t xml:space="preserve">returns to overdispersion.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exm-chronic-pearson"/>
          <w:p>
            <w:pPr>
              <w:pStyle w:val="BodyText"/>
            </w:pPr>
            <w:r>
              <w:rPr>
                <w:b/>
                <w:bCs/>
              </w:rPr>
              <w:t xml:space="preserve">Example 24 (Pearson residuals for the chronic medical conditions model)</w:t>
            </w:r>
            <w:r>
              <w:t xml:space="preserve"> </w:t>
            </w:r>
            <w:r>
              <w:t xml:space="preserve">The town woman who reports 4 conditions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</m:oMath>
            <w:r>
              <w:t xml:space="preserve"> </w:t>
            </w:r>
            <w:r>
              <w:t xml:space="preserve">(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her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26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26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 with 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1.4231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26</m:t>
                    </m:r>
                    <m:r>
                      <m:rPr>
                        <m:nor/>
                        <m:sty m:val="p"/>
                      </m:rPr>
                      <m:t> and its square root)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2.5769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2.160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r_pearson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(chronic_glm,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(r_pearson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df_resid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df.residual</w:t>
            </w:r>
            <w:r>
              <w:rPr>
                <w:rStyle w:val="NormalTok"/>
              </w:rPr>
              <w:t xml:space="preserve">(chronic_glm)</w:t>
            </w:r>
          </w:p>
          <w:p>
            <w:pPr>
              <w:pStyle w:val="FirstParagraph"/>
            </w:pPr>
            <w:hyperlink w:anchor="fig-chronic-pears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 </w:t>
            </w:r>
            <w:r>
              <w:t xml:space="preserve">plots all 49 Pearson residuals.</w:t>
            </w:r>
            <w:r>
              <w:t xml:space="preserve"> </w:t>
            </w:r>
            <w:r>
              <w:t xml:space="preserve">The largest residual in absolute value is</w:t>
            </w:r>
            <w:r>
              <w:t xml:space="preserve"> </w:t>
            </w:r>
            <w:r>
              <w:t xml:space="preserve">2.184,</w:t>
            </w:r>
            <w:r>
              <w:t xml:space="preserve"> </w:t>
            </w:r>
            <w:r>
              <w:t xml:space="preserve">and the Pearson chi-squared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43.66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47 residual degrees of freedom,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47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0.929.</w:t>
            </w:r>
            <w:r>
              <w:t xml:space="preserve"> </w:t>
            </w:r>
            <w:r>
              <w:t xml:space="preserve">No residual is extreme,</w:t>
            </w:r>
            <w:r>
              <w:t xml:space="preserve"> </w:t>
            </w:r>
            <w:r>
              <w:t xml:space="preserve">and the ratio is below 1,</w:t>
            </w:r>
            <w:r>
              <w:t xml:space="preserve"> </w:t>
            </w:r>
            <w:r>
              <w:t xml:space="preserve">so the data show no sign of more variability than the Poisson model allows.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13" w:name="fig-chronic-pearson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pearson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r_pearson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(chronic,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residence,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pearson))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geom_jitter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height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"Residence"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"Pearson residual"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1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GLMs_files/figure-docx/unnamed-chunk-9-1.png" id="21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10: Pearson residuals from the Poisson model for the chronic medical conditions data,</w:t>
                        </w:r>
                        <w:r>
                          <w:t xml:space="preserve"> </w:t>
                        </w:r>
                        <w:r>
                          <w:t xml:space="preserve">by residence</w:t>
                        </w:r>
                      </w:p>
                      <w:bookmarkEnd w:id="213"/>
                    </w:tc>
                  </w:tr>
                </w:tbl>
              </w:tc>
            </w:tr>
          </w:tbl>
          <w:bookmarkEnd w:id="214"/>
        </w:tc>
      </w:tr>
    </w:tbl>
    <w:bookmarkEnd w:id="215"/>
    <w:bookmarkStart w:id="221" w:name="step-4-inference"/>
    <w:p>
      <w:pPr>
        <w:pStyle w:val="Heading2"/>
      </w:pPr>
      <w:r>
        <w:t xml:space="preserve">10.5 Step 4: Inference</w:t>
      </w:r>
    </w:p>
    <w:p>
      <w:pPr>
        <w:pStyle w:val="FirstParagraph"/>
      </w:pPr>
      <w:r>
        <w:t xml:space="preserve">The final step is inference:</w:t>
      </w:r>
      <w:r>
        <w:t xml:space="preserve"> </w:t>
      </w:r>
      <w:r>
        <w:t xml:space="preserve">Dobson and Barnett [10, Sec. 2.3.5]</w:t>
      </w:r>
      <w:r>
        <w:t xml:space="preserve"> </w:t>
      </w:r>
      <w:r>
        <w:t xml:space="preserve">lists</w:t>
      </w:r>
      <w:r>
        <w:t xml:space="preserve"> </w:t>
      </w:r>
      <w:hyperlink r:id="rId39">
        <w:r>
          <w:rPr>
            <w:rStyle w:val="Hyperlink"/>
          </w:rPr>
          <w:t xml:space="preserve">confidence intervals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about the parameters,</w:t>
      </w:r>
      <w:r>
        <w:t xml:space="preserve"> </w:t>
      </w:r>
      <w:r>
        <w:t xml:space="preserve">and interpretation of the results.</w:t>
      </w:r>
      <w:r>
        <w:t xml:space="preserve"> </w:t>
      </w:r>
      <w:r>
        <w:t xml:space="preserve">By</w:t>
      </w:r>
      <w:r>
        <w:t xml:space="preserve"> </w:t>
      </w:r>
      <w:hyperlink r:id="rId216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in large samples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approximately Gaussian,</w:t>
      </w:r>
      <w:r>
        <w:t xml:space="preserve"> </w:t>
      </w:r>
      <w:r>
        <w:t xml:space="preserve">with covariance matrix approximated by the inverse of the</w:t>
      </w:r>
      <w:r>
        <w:t xml:space="preserve"> </w:t>
      </w:r>
      <w:hyperlink r:id="rId36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95%</w:t>
      </w:r>
      <w:r>
        <w:t xml:space="preserve"> </w:t>
      </w:r>
      <w:hyperlink r:id="rId21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8">
        <w:r>
          <w:rPr>
            <w:rStyle w:val="Hyperlink"/>
          </w:rPr>
          <w:t xml:space="preserve">Wald statistic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tests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exm-chronic-inference"/>
          <w:p>
            <w:pPr>
              <w:pStyle w:val="BodyText"/>
            </w:pPr>
            <w:r>
              <w:rPr>
                <w:b/>
                <w:bCs/>
              </w:rPr>
              <w:t xml:space="preserve">Example 25 (Comparing town and country women)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 the fitted means sum to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</m:oMath>
            <w:r>
              <w:t xml:space="preserve"> </w:t>
            </w:r>
            <w:r>
              <w:t xml:space="preserve">for the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for the country women.</w:t>
            </w:r>
            <w:r>
              <w:t xml:space="preserve"> </w:t>
            </w:r>
            <w:r>
              <w:t xml:space="preserve">Substituting into the Hessian from</w:t>
            </w:r>
            <w:r>
              <w:t xml:space="preserve"> </w:t>
            </w:r>
            <w:hyperlink w:anchor="exm-chronic-concavity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(Hessian of the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58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21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Its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determinant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58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37</m:t>
              </m:r>
              <m:r>
                <m:rPr>
                  <m:sty m:val="p"/>
                </m:rPr>
                <m:t>=</m:t>
              </m:r>
              <m:r>
                <m:t>777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inverse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ℓ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″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777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21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  <m:e>
                              <m:r>
                                <m:t>58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lower-right entry is 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777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</m:t>
                        </m:r>
                      </m:num>
                      <m:den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, </m:t>
                    </m:r>
                    <m:r>
                      <m:t>777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sum, then cancel the common factors)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0.0746</m:t>
                  </m:r>
                </m:e>
              </m:rad>
              <m:r>
                <m:rPr>
                  <m:sty m:val="p"/>
                </m:rPr>
                <m:t>≈</m:t>
              </m:r>
              <m:r>
                <m:t>0.2732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ci_b1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z_b1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p_b1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(z_b1))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(chronic_glm)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Pr(&gt;|z|)</w:t>
            </w:r>
            <w:r>
              <w:br/>
            </w:r>
            <w:r>
              <w:rPr>
                <w:rStyle w:val="CommentTok"/>
              </w:rPr>
              <w:t xml:space="preserve">#&gt; (Intercept)  0.352821   0.164399  2.14613 0.0318627</w:t>
            </w:r>
            <w:r>
              <w:br/>
            </w:r>
            <w:r>
              <w:rPr>
                <w:rStyle w:val="CommentTok"/>
              </w:rPr>
              <w:t xml:space="preserve">#&gt; country     -0.443793   0.273214 -1.62434 0.1043026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95% Wald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from -0.979 to 0.092.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Exponentiating the estimate and the interval endpoints,</w:t>
            </w:r>
            <w:r>
              <w:t xml:space="preserve"> </w:t>
            </w:r>
            <w:r>
              <w:t xml:space="preserve">the estimated ratio of the country mean to the town mean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0.642,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from 0.376 to 1.096.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Wald statistic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-1.624,</w:t>
            </w:r>
            <w:r>
              <w:t xml:space="preserve"> </w:t>
            </w:r>
            <w:r>
              <w:t xml:space="preserve">with two-sided</w:t>
            </w:r>
            <w:r>
              <w:t xml:space="preserve"> </w:t>
            </w:r>
            <w:hyperlink r:id="rId41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0.104.</w:t>
            </w:r>
          </w:p>
          <w:p>
            <w:pPr>
              <w:pStyle w:val="FirstParagraph"/>
            </w:pPr>
            <w:r>
              <w:t xml:space="preserve">These hand calculations match the standard error,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value,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reports for</w:t>
            </w:r>
            <w:r>
              <w:t xml:space="preserve"> </w:t>
            </w:r>
            <w:r>
              <w:rPr>
                <w:rStyle w:val="VerbatimChar"/>
              </w:rPr>
              <w:t xml:space="preserve">country</w:t>
            </w:r>
            <w:r>
              <w:t xml:space="preserve">.</w:t>
            </w:r>
            <w:r>
              <w:t xml:space="preserve"> </w:t>
            </w:r>
            <w:r>
              <w:t xml:space="preserve">On average, country women in this sample reported</w:t>
            </w:r>
            <w:r>
              <w:t xml:space="preserve"> </w:t>
            </w:r>
            <w:r>
              <w:t xml:space="preserve">36% fewer chronic conditions</w:t>
            </w:r>
            <w:r>
              <w:t xml:space="preserve"> </w:t>
            </w:r>
            <w:r>
              <w:t xml:space="preserve">than town women,</w:t>
            </w:r>
            <w:r>
              <w:t xml:space="preserve"> </w:t>
            </w:r>
            <w:r>
              <w:t xml:space="preserve">but the confidence interval for the ratio includes 1,</w:t>
            </w:r>
            <w:r>
              <w:t xml:space="preserve"> </w:t>
            </w:r>
            <w:r>
              <w:t xml:space="preserve">so these data are also consistent with no difference in the mean number of conditions.</w:t>
            </w:r>
          </w:p>
          <w:bookmarkEnd w:id="220"/>
        </w:tc>
      </w:tr>
    </w:tbl>
    <w:bookmarkEnd w:id="221"/>
    <w:bookmarkEnd w:id="222"/>
    <w:bookmarkStart w:id="230" w:name="sec-choosing-glm"/>
    <w:p>
      <w:pPr>
        <w:pStyle w:val="Heading1"/>
      </w:pPr>
      <w:r>
        <w:t xml:space="preserve">11.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41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41"/>
        </w:numPr>
      </w:pPr>
      <w:r>
        <w:t xml:space="preserve">Patient survival times, which may be</w:t>
      </w:r>
      <w:r>
        <w:t xml:space="preserve"> </w:t>
      </w:r>
      <w:hyperlink r:id="rId223">
        <w:r>
          <w:rPr>
            <w:rStyle w:val="Hyperlink"/>
          </w:rPr>
          <w:t xml:space="preserve">right-censored</w:t>
        </w:r>
      </w:hyperlink>
      <w:r>
        <w:t xml:space="preserve">, call for time-to-event methods</w:t>
      </w:r>
      <w:r>
        <w:t xml:space="preserve"> </w:t>
      </w:r>
      <w:r>
        <w:t xml:space="preserve">such as</w:t>
      </w:r>
      <w:r>
        <w:t xml:space="preserve"> </w:t>
      </w:r>
      <w:hyperlink r:id="rId224">
        <w:r>
          <w:rPr>
            <w:rStyle w:val="Hyperlink"/>
          </w:rPr>
          <w:t xml:space="preserve">Kaplan-Meier estimation</w:t>
        </w:r>
      </w:hyperlink>
      <w:r>
        <w:t xml:space="preserve"> </w:t>
      </w:r>
      <w:r>
        <w:t xml:space="preserve">or</w:t>
      </w:r>
      <w:r>
        <w:t xml:space="preserve"> </w:t>
      </w:r>
      <w:hyperlink r:id="rId225">
        <w:r>
          <w:rPr>
            <w:rStyle w:val="Hyperlink"/>
          </w:rPr>
          <w:t xml:space="preserve">Cox proportional hazards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binary (0/1),</w:t>
      </w:r>
      <w:r>
        <w:t xml:space="preserve"> </w:t>
      </w:r>
      <w:r>
        <w:t xml:space="preserve">we can use</w:t>
      </w:r>
      <w:r>
        <w:t xml:space="preserve"> </w:t>
      </w:r>
      <w:hyperlink r:id="rId54">
        <w:r>
          <w:rPr>
            <w:rStyle w:val="Hyperlink"/>
          </w:rPr>
          <w:t xml:space="preserve">logistic regression models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a</w:t>
      </w:r>
      <w:r>
        <w:t xml:space="preserve"> </w:t>
      </w:r>
      <w:hyperlink r:id="rId55">
        <w:r>
          <w:rPr>
            <w:rStyle w:val="Hyperlink"/>
          </w:rPr>
          <w:t xml:space="preserve">count</w:t>
        </w:r>
      </w:hyperlink>
      <w:r>
        <w:t xml:space="preserve">,</w:t>
      </w:r>
      <w:r>
        <w:t xml:space="preserve"> </w:t>
      </w:r>
      <w:r>
        <w:t xml:space="preserve">we can use</w:t>
      </w:r>
      <w:r>
        <w:t xml:space="preserve"> </w:t>
      </w:r>
      <w:hyperlink r:id="rId209">
        <w:r>
          <w:rPr>
            <w:rStyle w:val="Hyperlink"/>
          </w:rPr>
          <w:t xml:space="preserve">Poisson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</w:t>
      </w:r>
      <w:r>
        <w:t xml:space="preserve"> </w:t>
      </w:r>
      <w:hyperlink r:id="rId226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</w:t>
      </w:r>
      <w:r>
        <w:t xml:space="preserve"> </w:t>
      </w:r>
      <w:r>
        <w:t xml:space="preserve">or</w:t>
      </w:r>
      <w:r>
        <w:t xml:space="preserve"> </w:t>
      </w:r>
      <w:hyperlink r:id="rId23">
        <w:r>
          <w:rPr>
            <w:rStyle w:val="Hyperlink"/>
          </w:rPr>
          <w:t xml:space="preserve">overdispersed</w:t>
        </w:r>
      </w:hyperlink>
      <w:r>
        <w:t xml:space="preserve"> </w:t>
      </w:r>
      <w:r>
        <w:t xml:space="preserve">Poisson models.</w:t>
      </w:r>
    </w:p>
    <w:p>
      <w:pPr>
        <w:numPr>
          <w:ilvl w:val="0"/>
          <w:numId w:val="1041"/>
        </w:numPr>
      </w:pPr>
      <w:r>
        <w:t xml:space="preserve">Other outcome structures correspond to other families within the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framework.</w:t>
      </w:r>
    </w:p>
    <w:p>
      <w:pPr>
        <w:pStyle w:val="FirstParagraph"/>
      </w:pPr>
      <w:r>
        <w:t xml:space="preserve">In generalized linear modeling, we specify 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hyperlink r:id="rId15">
        <w:r>
          <w:rPr>
            <w:rStyle w:val="Hyperlink"/>
          </w:rPr>
          <w:t xml:space="preserve">binomial</w:t>
        </w:r>
      </w:hyperlink>
      <w:r>
        <w:t xml:space="preserve"> </w:t>
      </w:r>
      <w:r>
        <w:t xml:space="preserve">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w:r>
        <w:t xml:space="preserve">$\mu \stackrel{\text{def}}{=}{\mathbb{E}\mathopen{}\left[Y \mid \mathord{\smash[b]{\underset{\raise.3ex\hbox{$\scriptstyle\sim$}}{X}}\vphantom{X}}= \mathord{\smash[b]{\underset{\raise.3ex\hbox{$\scriptstyle\sim$}}{x}}\vphantom{x}}\right]\mathclose{}}$</w:t>
      </w:r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42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42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42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FirstParagraph"/>
      </w:pPr>
      <w:hyperlink w:anchor="tbl-glm-famili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outcome families available in R’s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function,</w:t>
      </w:r>
      <w:r>
        <w:t xml:space="preserve"> </w:t>
      </w:r>
      <w:r>
        <w:t xml:space="preserve">together with the link functions each family accepts</w:t>
      </w:r>
      <w:r>
        <w:t xml:space="preserve"> </w:t>
      </w:r>
      <w:r>
        <w:t xml:space="preserve">(the default link for each family is in bold),</w:t>
      </w:r>
      <w:r>
        <w:t xml:space="preserve"> </w:t>
      </w:r>
      <w:r>
        <w:t xml:space="preserve">and</w:t>
      </w:r>
      <w:r>
        <w:t xml:space="preserve"> </w:t>
      </w:r>
      <w:hyperlink w:anchor="tbl-glm-link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defines each 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7" w:name="tbl-glm-famili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Families and link functions available in R’s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glm()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Family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Links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gaussian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identity</w:t>
                        </w:r>
                        <w:r>
                          <w:t xml:space="preserve">, log, inverse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binomial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logit</w:t>
                        </w:r>
                        <w:r>
                          <w:t xml:space="preserve">, probit, cauchit, log, cloglog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gamma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inverse</w:t>
                        </w:r>
                        <w:r>
                          <w:t xml:space="preserve">, identity, 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inverse.gaussian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1/mu^2</w:t>
                        </w:r>
                        <w:r>
                          <w:t xml:space="preserve">, inverse, identity, 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Poisson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</w:t>
                        </w:r>
                        <w:r>
                          <w:t xml:space="preserve">, identity,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identity</w:t>
                        </w:r>
                        <w:r>
                          <w:t xml:space="preserve">, logit, probit, cloglog, inverse, log, 1/mu^2 and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quasibinomial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logit</w:t>
                        </w:r>
                        <w:r>
                          <w:t xml:space="preserve">, probit, identity, cloglog, inverse, log, 1/mu^2 and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quasipoisson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</w:t>
                        </w:r>
                        <w:r>
                          <w:t xml:space="preserve">, identity, logit, probit, cloglog, inverse, 1/mu^2 and sqrt</w:t>
                        </w:r>
                      </w:p>
                    </w:tc>
                  </w:tr>
                </w:tbl>
                <w:bookmarkEnd w:id="227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8" w:name="tbl-glm-link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Link functions available in R’s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glm()</w:t>
                  </w:r>
                  <w:r>
                    <w:t xml:space="preserve">, where</w:t>
                  </w:r>
                  <w:r>
                    <w:t xml:space="preserve"> </w:t>
                  </w:r>
                  <w:r>
                    <w:t xml:space="preserve">$\eta \stackrel{\text{def}}{=}\mathord{\smash[b]{\underset{\raise.3ex\hbox{$\scriptstyle\sim$}}{x}}\vphantom{x}}\cdot \mathord{\smash[b]{\underset{\raise.3ex\hbox{$\scriptstyle\sim$}}{\beta}}\vphantom{\beta}}= g(\mu)$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672"/>
                    <w:gridCol w:w="1419"/>
                    <w:gridCol w:w="1419"/>
                    <w:gridCol w:w="2017"/>
                    <w:gridCol w:w="23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Name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Domain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Link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 Link Function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identity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μ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η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η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μ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probit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Φ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Φ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cloglog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log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η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1/mu^2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η</m:t>
                              </m:r>
                            </m:e>
                          </m:rad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sqrt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μ</m:t>
                              </m:r>
                            </m:e>
                          </m:rad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η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228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exm-choose-family"/>
          <w:p>
            <w:pPr>
              <w:pStyle w:val="BodyText"/>
            </w:pPr>
            <w:r>
              <w:rPr>
                <w:b/>
                <w:bCs/>
              </w:rPr>
              <w:t xml:space="preserve">Example 26 (Matching outcomes to families and links)</w:t>
            </w:r>
            <w:r>
              <w:t xml:space="preserve"> </w:t>
            </w:r>
            <w:r>
              <w:t xml:space="preserve">Each of the following outcomes calls for a different choice of family and link: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96"/>
              <w:gridCol w:w="2562"/>
              <w:gridCol w:w="1863"/>
              <w:gridCol w:w="13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Data type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Link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systolic blood pressure (mmHg)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continuous, unbounded in practice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whether a participant develops diabetes during 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number of chronic medical conditions (</w:t>
                  </w:r>
                  <w:hyperlink w:anchor="exm-chronic-spec">
                    <w:r>
                      <w:rPr>
                        <w:rStyle w:val="Hyperlink"/>
                      </w:rPr>
                      <w:t xml:space="preserve">Example 21</w:t>
                    </w:r>
                  </w:hyperlink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hospital length of stay (days), measured continuously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positive and right-skewed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</w:tbl>
          <w:p>
            <w:pPr>
              <w:pStyle w:val="BodyText"/>
            </w:pPr>
            <w:r>
              <w:t xml:space="preserve">For the last outcome,</w:t>
            </w:r>
            <w:r>
              <w:t xml:space="preserve"> </w:t>
            </w:r>
            <w:r>
              <w:t xml:space="preserve">the canonical inverse link of the gamma family would also be allowed,</w:t>
            </w:r>
            <w:r>
              <w:t xml:space="preserve"> </w:t>
            </w:r>
            <w:r>
              <w:t xml:space="preserve">but the log link keeps the fitted means positive for every value of the linear predictor</w:t>
            </w:r>
            <w:r>
              <w:t xml:space="preserve"> </w:t>
            </w:r>
            <w:r>
              <w:t xml:space="preserve">and makes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 ratio of means,</w:t>
            </w:r>
            <w:r>
              <w:t xml:space="preserve"> </w:t>
            </w:r>
            <w:r>
              <w:t xml:space="preserve">just as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.</w:t>
            </w:r>
          </w:p>
          <w:bookmarkEnd w:id="229"/>
        </w:tc>
      </w:tr>
    </w:tbl>
    <w:p>
      <w:r>
        <w:pict>
          <v:rect style="width:0;height:1.5pt" o:hralign="center" o:hrstd="t" o:hr="t"/>
        </w:pict>
      </w:r>
    </w:p>
    <w:bookmarkEnd w:id="230"/>
    <w:bookmarkStart w:id="2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6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w:r>
              <w:t xml:space="preserve">$\eta = \mathord{\smash[b]{\underset{\raise.3ex\hbox{$\scriptstyle\sim$}}{x}}\vphantom{x}}\cdot \mathord{\smash[b]{\underset{\raise.3ex\hbox{$\scriptstyle\sim$}}{\beta}}\vphantom{\beta}}$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\text{Bernoulli}(\pi_i)$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\operatorname{Pois}(\mu_i)$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\text{Gamma}(\text{mean} = \mu_i)$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7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Canonical links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For each listed distribution,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</m:oMath>
          </w:p>
          <w:bookmarkEnd w:id="2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constant.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The sign of the Gamma canonical link is a convention: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in the density’s natural parameterization,</w:t>
            </w:r>
            <w:r>
              <w:t xml:space="preserve"> </w:t>
            </w:r>
            <w:r>
              <w:t xml:space="preserve">while R’s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family uses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as its default inverse link.</w:t>
            </w:r>
            <w:r>
              <w:t xml:space="preserve"> </w:t>
            </w:r>
            <w:r>
              <w:t xml:space="preserve">Either way, the linear predictor can produce a negative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log link (not the canonical inverse link) is often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bookmarkEnd w:id="234"/>
    <w:bookmarkStart w:id="256" w:name="references"/>
    <w:p>
      <w:pPr>
        <w:pStyle w:val="Heading1"/>
      </w:pPr>
      <w:r>
        <w:t xml:space="preserve">References</w:t>
      </w:r>
    </w:p>
    <w:bookmarkStart w:id="255" w:name="refs"/>
    <w:bookmarkStart w:id="236" w:name="ref-r4d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Wickham, M. Çetinkaya-Rundel, and G. Grolemund,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Inc.", 2023. Available:</w:t>
      </w:r>
      <w:r>
        <w:t xml:space="preserve"> </w:t>
      </w:r>
      <w:hyperlink r:id="rId235">
        <w:r>
          <w:rPr>
            <w:rStyle w:val="Hyperlink"/>
          </w:rPr>
          <w:t xml:space="preserve">https://r4ds.hadley.nz/</w:t>
        </w:r>
      </w:hyperlink>
    </w:p>
    <w:bookmarkEnd w:id="236"/>
    <w:bookmarkStart w:id="238" w:name="ref-dalgaardintroduct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237">
        <w:r>
          <w:rPr>
            <w:rStyle w:val="Hyperlink"/>
          </w:rPr>
          <w:t xml:space="preserve">https://link.springer.com/book/10.1007/978-0-387-79054-1</w:t>
        </w:r>
      </w:hyperlink>
    </w:p>
    <w:bookmarkEnd w:id="238"/>
    <w:bookmarkStart w:id="240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https://doi.org/10.1007/978-1-4614-1353-0</w:t>
        </w:r>
      </w:hyperlink>
    </w:p>
    <w:bookmarkEnd w:id="240"/>
    <w:bookmarkStart w:id="242" w:name="ref-kleinbaum2014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24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242"/>
    <w:bookmarkStart w:id="244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4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44"/>
    <w:bookmarkStart w:id="246" w:name="ref-neyman1923ap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Neyman,</w:t>
      </w:r>
      <w:r>
        <w:t xml:space="preserve"> </w:t>
      </w:r>
      <w:r>
        <w:t xml:space="preserve">“On the application of probability theory to agricultural experiments. Essay on principles. Section 9,”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5, no. 4, pp. 465–472, 1990, doi:</w:t>
      </w:r>
      <w:r>
        <w:t xml:space="preserve"> </w:t>
      </w:r>
      <w:hyperlink r:id="rId245">
        <w:r>
          <w:rPr>
            <w:rStyle w:val="Hyperlink"/>
          </w:rPr>
          <w:t xml:space="preserve">10.1214/ss/1177012031</w:t>
        </w:r>
      </w:hyperlink>
      <w:r>
        <w:t xml:space="preserve">.</w:t>
      </w:r>
    </w:p>
    <w:bookmarkEnd w:id="246"/>
    <w:bookmarkStart w:id="248" w:name="ref-rubin1974estimat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24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248"/>
    <w:bookmarkStart w:id="250" w:name="ref-hernan2020caus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249">
        <w:r>
          <w:rPr>
            <w:rStyle w:val="Hyperlink"/>
          </w:rPr>
          <w:t xml:space="preserve">https://www.hsph.harvard.edu/miguel-hernan/causal-inference-book/</w:t>
        </w:r>
      </w:hyperlink>
    </w:p>
    <w:bookmarkEnd w:id="250"/>
    <w:bookmarkStart w:id="252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51">
        <w:r>
          <w:rPr>
            <w:rStyle w:val="Hyperlink"/>
          </w:rPr>
          <w:t xml:space="preserve">https://link.springer.com/book/10.1007/978-1-4419-0118-7</w:t>
        </w:r>
      </w:hyperlink>
    </w:p>
    <w:bookmarkEnd w:id="252"/>
    <w:bookmarkStart w:id="254" w:name="ref-dobson4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53">
        <w:r>
          <w:rPr>
            <w:rStyle w:val="Hyperlink"/>
          </w:rPr>
          <w:t xml:space="preserve">https://doi.org/10.1201/9781315182780</w:t>
        </w:r>
      </w:hyperlink>
    </w:p>
    <w:bookmarkEnd w:id="254"/>
    <w:bookmarkEnd w:id="255"/>
    <w:bookmarkEnd w:id="2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Time permitting.</w:t>
      </w:r>
    </w:p>
  </w:footnote>
  <w:footnote w:id="1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indicates 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the notation page of the lab’s math notes</w:t>
        </w:r>
      </w:hyperlink>
      <w:r>
        <w:t xml:space="preserve"> </w:t>
      </w:r>
      <w:r>
        <w:t xml:space="preserve">for a table of notation used in these notes.</w:t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210" Target="media/rId210.png" /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2026-10-28T21:52:21Z</dcterms:created>
  <dcterms:modified xsi:type="dcterms:W3CDTF">2026-10-28T21:52:21Z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omments">
    <vt:lpwstr/>
  </property>
  <property fmtid="{D5CDD505-2E9C-101B-9397-08002B2CF9AE}" pid="7" name="crossref">
    <vt:lpwstr/>
  </property>
  <property fmtid="{D5CDD505-2E9C-101B-9397-08002B2CF9AE}" pid="8" name="csl">
    <vt:lpwstr>../latex-macros/citations/numeric-author.csl</vt:lpwstr>
  </property>
  <property fmtid="{D5CDD505-2E9C-101B-9397-08002B2CF9AE}" pid="9" name="custom-callout">
    <vt:lpwstr/>
  </property>
  <property fmtid="{D5CDD505-2E9C-101B-9397-08002B2CF9AE}" pid="10" name="editor">
    <vt:lpwstr/>
  </property>
  <property fmtid="{D5CDD505-2E9C-101B-9397-08002B2CF9AE}" pid="11" name="editor_option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toc-title">
    <vt:lpwstr>Table of contents</vt:lpwstr>
  </property>
</Properties>
</file>