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In many health sciences applications,</w:t>
      </w:r>
      <w:r>
        <w:t xml:space="preserve"> </w:t>
      </w:r>
      <w:hyperlink r:id="rId9">
        <w:r>
          <w:rPr>
            <w:rStyle w:val="Hyperlink"/>
          </w:rPr>
          <w:t xml:space="preserve">binary</w:t>
        </w:r>
      </w:hyperlink>
      <w:r>
        <w:t xml:space="preserve"> </w:t>
      </w:r>
      <w:hyperlink r:id="rId10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11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</w:t>
      </w:r>
      <w:r>
        <w:t xml:space="preserve"> </w:t>
      </w:r>
      <w:hyperlink r:id="rId1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cannot handle such</w:t>
      </w:r>
      <w:r>
        <w:t xml:space="preserve"> </w:t>
      </w:r>
      <w:hyperlink r:id="rId13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data directly without introducing</w:t>
      </w:r>
      <w:r>
        <w:t xml:space="preserve"> </w:t>
      </w:r>
      <w:hyperlink r:id="rId14">
        <w:r>
          <w:rPr>
            <w:rStyle w:val="Hyperlink"/>
          </w:rPr>
          <w:t xml:space="preserve">bias</w:t>
        </w:r>
      </w:hyperlink>
      <w:r>
        <w:t xml:space="preserve">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bookmarkEnd w:id="15"/>
    <w:bookmarkStart w:id="22" w:name="why-censoring-matters"/>
    <w:p>
      <w:pPr>
        <w:pStyle w:val="Heading1"/>
      </w:pPr>
      <w:r>
        <w:t xml:space="preserve">1. Why censoring matters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tte-overview-censoring-bias"/>
          <w:p>
            <w:pPr>
              <w:pStyle w:val="BodyText"/>
            </w:pPr>
            <w:r>
              <w:rPr>
                <w:b/>
                <w:bCs/>
              </w:rPr>
              <w:t xml:space="preserve">Example 1 (Six patients followed for relapse)</w:t>
            </w:r>
            <w:r>
              <w:t xml:space="preserve"> </w:t>
            </w:r>
            <w:r>
              <w:t xml:space="preserve">Suppose a study follows six cancer patients in remission for up to 12 months,</w:t>
            </w:r>
            <w:r>
              <w:t xml:space="preserve"> </w:t>
            </w:r>
            <w:r>
              <w:t xml:space="preserve">and we want to estimate the 12-month relapse risk,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of time to relapse</w:t>
            </w:r>
            <w:r>
              <w:t xml:space="preserve"> </w:t>
            </w:r>
            <w:r>
              <w:t xml:space="preserve">(in months).</w:t>
            </w:r>
            <w:r>
              <w:t xml:space="preserve"> </w:t>
            </w:r>
            <w:hyperlink w:anchor="tbl-tte-overview-patient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shows each patient’s observed follow-up time</w:t>
            </w:r>
            <w:r>
              <w:t xml:space="preserve"> </w:t>
            </w:r>
            <w:r>
              <w:t xml:space="preserve">and event indicator</w:t>
            </w:r>
            <w:r>
              <w:t xml:space="preserve"> </w:t>
            </w:r>
            <w:r>
              <w:t xml:space="preserve">(1 = relapse observed; 0 =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).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7" w:name="tbl-tte-overview-patie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Hypothetical follow-up data for six patients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891"/>
                          <w:gridCol w:w="2475"/>
                          <w:gridCol w:w="1683"/>
                          <w:gridCol w:w="287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Patient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Follow-up time (months)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Event indicator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 status at 12 months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A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B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relapsed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unknown (withdrew)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F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left"/>
                                <w:jc w:val="center"/>
                              </w:pPr>
                              <w:r>
                                <w:t xml:space="preserve">relapse-free</w:t>
                              </w:r>
                            </w:p>
                          </w:tc>
                        </w:tr>
                      </w:tbl>
                      <w:bookmarkEnd w:id="17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Naive approach 1: treat censored patients as event-free.</w:t>
            </w:r>
            <w:r>
              <w:t xml:space="preserve"> </w:t>
            </w:r>
            <w:r>
              <w:t xml:space="preserve">Counting patients B and D as relapse-free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0.333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can only</w:t>
            </w:r>
            <w:r>
              <w:t xml:space="preserve"> </w:t>
            </w:r>
            <w:r>
              <w:rPr>
                <w:i/>
                <w:iCs/>
              </w:rPr>
              <w:t xml:space="preserve">under</w:t>
            </w:r>
            <w:r>
              <w:t xml:space="preserve">estimate the risk,</w:t>
            </w:r>
            <w:r>
              <w:t xml:space="preserve"> </w:t>
            </w:r>
            <w:r>
              <w:t xml:space="preserve">because any relapses that B or D experienced after withdrawal</w:t>
            </w:r>
            <w:r>
              <w:t xml:space="preserve"> </w:t>
            </w:r>
            <w:r>
              <w:t xml:space="preserve">are counted as non-relapses.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Naive approach 2: drop patients with unknown status.</w:t>
            </w:r>
            <w:r>
              <w:t xml:space="preserve"> </w:t>
            </w:r>
            <w:r>
              <w:t xml:space="preserve">Discarding patients B and D gives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approach throws away the information that B stayed relapse-free for 5 months</w:t>
            </w:r>
            <w:r>
              <w:t xml:space="preserve"> </w:t>
            </w:r>
            <w:r>
              <w:t xml:space="preserve">and D for 9 months,</w:t>
            </w:r>
            <w:r>
              <w:t xml:space="preserve"> </w:t>
            </w:r>
            <w:r>
              <w:t xml:space="preserve">so in this example it</w:t>
            </w:r>
            <w:r>
              <w:t xml:space="preserve"> </w:t>
            </w:r>
            <w:r>
              <w:rPr>
                <w:i/>
                <w:iCs/>
              </w:rPr>
              <w:t xml:space="preserve">over</w:t>
            </w:r>
            <w:r>
              <w:t xml:space="preserve">estimates the risk.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Using the censored observations.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keeps each censored patient in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until their censoring time</w:t>
            </w:r>
            <w:r>
              <w:t xml:space="preserve"> </w:t>
            </w:r>
            <w:r>
              <w:t xml:space="preserve">[1, Ch. 2]</w:t>
            </w:r>
            <w:r>
              <w:t xml:space="preserve">.</w:t>
            </w:r>
            <w:r>
              <w:t xml:space="preserve"> </w:t>
            </w:r>
            <w:r>
              <w:t xml:space="preserve">Relapses occur at 3 months (6 patients at risk)</w:t>
            </w:r>
            <w:r>
              <w:t xml:space="preserve"> </w:t>
            </w:r>
            <w:r>
              <w:t xml:space="preserve">and at 7 months (4 patients at risk: C, D, E, F),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over the event times 3 and 7)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inside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24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numerators and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estimated 12-month risk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0.625</m:t>
              </m:r>
              <m:r>
                <m:rPr>
                  <m:sty m:val="p"/>
                </m:rPr>
                <m:t>=</m:t>
              </m:r>
              <m:r>
                <m:t>0.375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estimate lies between the two naive estimates,</w:t>
            </w:r>
            <w:r>
              <w:t xml:space="preserve"> </w:t>
            </w:r>
            <w:r>
              <w:t xml:space="preserve">and it is valid under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 </w:t>
            </w:r>
            <w:r>
              <w:t xml:space="preserve">[1, Ch. 1]</w:t>
            </w:r>
            <w:r>
              <w:t xml:space="preserve">.</w:t>
            </w:r>
          </w:p>
          <w:bookmarkEnd w:id="21"/>
        </w:tc>
      </w:tr>
    </w:tbl>
    <w:bookmarkEnd w:id="22"/>
    <w:bookmarkStart w:id="42" w:name="module-roadmap"/>
    <w:p>
      <w:pPr>
        <w:pStyle w:val="Heading1"/>
      </w:pPr>
      <w:r>
        <w:t xml:space="preserve">2. Module roadmap</w:t>
      </w:r>
    </w:p>
    <w:p>
      <w:pPr>
        <w:pStyle w:val="FirstParagraph"/>
      </w:pPr>
      <w:r>
        <w:t xml:space="preserve">This module has three chapters.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Introduction to Survival Analysis</w:t>
        </w:r>
      </w:hyperlink>
      <w:r>
        <w:t xml:space="preserve"> </w:t>
      </w:r>
      <w:r>
        <w:t xml:space="preserve">defines the basic quantities for time-to-event data:</w:t>
      </w:r>
      <w:r>
        <w:t xml:space="preserve"> </w:t>
      </w:r>
      <w:hyperlink r:id="rId13">
        <w:r>
          <w:rPr>
            <w:rStyle w:val="Hyperlink"/>
          </w:rPr>
          <w:t xml:space="preserve">right censoring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cumulative hazard</w:t>
        </w:r>
      </w:hyperlink>
      <w:r>
        <w:t xml:space="preserve">.</w:t>
      </w:r>
      <w:r>
        <w:t xml:space="preserve"> </w:t>
      </w:r>
      <w:r>
        <w:t xml:space="preserve">It then covers nonparametric methods: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log-rank test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Nelson-Aalen estimator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Proportional Hazards Models</w:t>
        </w:r>
      </w:hyperlink>
      <w:r>
        <w:t xml:space="preserve"> </w:t>
      </w:r>
      <w:r>
        <w:t xml:space="preserve">introduces the</w:t>
      </w:r>
      <w:r>
        <w:t xml:space="preserve"> </w:t>
      </w:r>
      <w:hyperlink r:id="rId29">
        <w:r>
          <w:rPr>
            <w:rStyle w:val="Hyperlink"/>
          </w:rPr>
          <w:t xml:space="preserve">Cox proportional hazards model</w:t>
        </w:r>
      </w:hyperlink>
      <w:r>
        <w:t xml:space="preserve">,</w:t>
      </w:r>
      <w:r>
        <w:t xml:space="preserve"> </w:t>
      </w:r>
      <w:r>
        <w:t xml:space="preserve">which relates</w:t>
      </w:r>
      <w:r>
        <w:t xml:space="preserve"> </w:t>
      </w:r>
      <w:hyperlink r:id="rId30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to a</w:t>
      </w:r>
      <w:r>
        <w:t xml:space="preserve"> </w:t>
      </w:r>
      <w:hyperlink r:id="rId31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through</w:t>
      </w:r>
      <w:r>
        <w:t xml:space="preserve"> </w:t>
      </w:r>
      <w:hyperlink r:id="rId32">
        <w:r>
          <w:rPr>
            <w:rStyle w:val="Hyperlink"/>
          </w:rPr>
          <w:t xml:space="preserve">hazard ratios</w:t>
        </w:r>
      </w:hyperlink>
      <w:r>
        <w:t xml:space="preserve">,</w:t>
      </w:r>
      <w:r>
        <w:t xml:space="preserve"> </w:t>
      </w:r>
      <w:r>
        <w:t xml:space="preserve">and estimates its coefficients using the</w:t>
      </w:r>
      <w:r>
        <w:t xml:space="preserve"> </w:t>
      </w:r>
      <w:hyperlink r:id="rId33">
        <w:r>
          <w:rPr>
            <w:rStyle w:val="Hyperlink"/>
          </w:rPr>
          <w:t xml:space="preserve">partial likelihood</w:t>
        </w:r>
      </w:hyperlink>
      <w:r>
        <w:t xml:space="preserve">.</w:t>
      </w:r>
      <w:r>
        <w:t xml:space="preserve"> </w:t>
      </w:r>
      <w:r>
        <w:t xml:space="preserve">It also introduces</w:t>
      </w:r>
      <w:r>
        <w:t xml:space="preserve"> </w:t>
      </w:r>
      <w:hyperlink r:id="rId34">
        <w:r>
          <w:rPr>
            <w:rStyle w:val="Hyperlink"/>
          </w:rPr>
          <w:t xml:space="preserve">competing risks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Parametric Survival Models</w:t>
        </w:r>
      </w:hyperlink>
      <w:r>
        <w:t xml:space="preserve"> </w:t>
      </w:r>
      <w:r>
        <w:t xml:space="preserve">assumes a specific distributional family for the event times,</w:t>
      </w:r>
      <w:r>
        <w:t xml:space="preserve"> </w:t>
      </w:r>
      <w:r>
        <w:t xml:space="preserve">such as the</w:t>
      </w:r>
      <w:r>
        <w:t xml:space="preserve"> </w:t>
      </w:r>
      <w:hyperlink r:id="rId36">
        <w:r>
          <w:rPr>
            <w:rStyle w:val="Hyperlink"/>
          </w:rPr>
          <w:t xml:space="preserve">exponential regression model</w:t>
        </w:r>
      </w:hyperlink>
      <w:r>
        <w:t xml:space="preserve"> </w:t>
      </w:r>
      <w:r>
        <w:t xml:space="preserve">and the</w:t>
      </w:r>
      <w:r>
        <w:t xml:space="preserve"> </w:t>
      </w:r>
      <w:hyperlink r:id="rId37">
        <w:r>
          <w:rPr>
            <w:rStyle w:val="Hyperlink"/>
          </w:rPr>
          <w:t xml:space="preserve">Weibull distribution</w:t>
        </w:r>
      </w:hyperlink>
      <w:r>
        <w:t xml:space="preserve">,</w:t>
      </w:r>
      <w:r>
        <w:t xml:space="preserve"> </w:t>
      </w:r>
      <w:r>
        <w:t xml:space="preserve">and introduces</w:t>
      </w:r>
      <w:r>
        <w:t xml:space="preserve"> </w:t>
      </w:r>
      <w:hyperlink r:id="rId38">
        <w:r>
          <w:rPr>
            <w:rStyle w:val="Hyperlink"/>
          </w:rPr>
          <w:t xml:space="preserve">accelerated failure time models</w:t>
        </w:r>
      </w:hyperlink>
      <w:r>
        <w:t xml:space="preserve">.</w:t>
      </w:r>
    </w:p>
    <w:bookmarkStart w:id="41" w:name="refs"/>
    <w:bookmarkStart w:id="40" w:name="ref-kleinbaum2012surviv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39">
        <w:r>
          <w:rPr>
            <w:rStyle w:val="Hyperlink"/>
          </w:rPr>
          <w:t xml:space="preserve">https://link.springer.com/book/10.1007/978-1-4419-6646-9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tro-to-GLMs.qmd#def-outcome" TargetMode="External" /><Relationship Type="http://schemas.openxmlformats.org/officeDocument/2006/relationships/hyperlink" Id="rId30" Target="Intro-to-GLMs.qmd#def-predictors" TargetMode="External" /><Relationship Type="http://schemas.openxmlformats.org/officeDocument/2006/relationships/hyperlink" Id="rId39" Target="https://link.springer.com/book/10.1007/978-1-4419-6646-9" TargetMode="External" /><Relationship Type="http://schemas.openxmlformats.org/officeDocument/2006/relationships/hyperlink" Id="rId37" Target="https://morrison-lab.github.io/pds/distributions.html#def-weibull" TargetMode="External" /><Relationship Type="http://schemas.openxmlformats.org/officeDocument/2006/relationships/hyperlink" Id="rId9" Target="https://morrison-lab.github.io/sds/data.html#def-binary-var" TargetMode="External" /><Relationship Type="http://schemas.openxmlformats.org/officeDocument/2006/relationships/hyperlink" Id="rId14" Target="https://morrison-lab.github.io/sds/estimation.html#def-bias" TargetMode="External" /><Relationship Type="http://schemas.openxmlformats.org/officeDocument/2006/relationships/hyperlink" Id="rId23" Target="intro-to-survival-analysis.qmd" TargetMode="External" /><Relationship Type="http://schemas.openxmlformats.org/officeDocument/2006/relationships/hyperlink" Id="rId18" Target="intro-to-survival-analysis.qmd#def-KM-estimator" TargetMode="External" /><Relationship Type="http://schemas.openxmlformats.org/officeDocument/2006/relationships/hyperlink" Id="rId25" Target="intro-to-survival-analysis.qmd#def-cuhaz" TargetMode="External" /><Relationship Type="http://schemas.openxmlformats.org/officeDocument/2006/relationships/hyperlink" Id="rId24" Target="intro-to-survival-analysis.qmd#def-hazard" TargetMode="External" /><Relationship Type="http://schemas.openxmlformats.org/officeDocument/2006/relationships/hyperlink" Id="rId32" Target="intro-to-survival-analysis.qmd#def-hazard-ratio" TargetMode="External" /><Relationship Type="http://schemas.openxmlformats.org/officeDocument/2006/relationships/hyperlink" Id="rId26" Target="intro-to-survival-analysis.qmd#def-logrank-test" TargetMode="External" /><Relationship Type="http://schemas.openxmlformats.org/officeDocument/2006/relationships/hyperlink" Id="rId27" Target="intro-to-survival-analysis.qmd#def-na-cuhaz-est" TargetMode="External" /><Relationship Type="http://schemas.openxmlformats.org/officeDocument/2006/relationships/hyperlink" Id="rId20" Target="intro-to-survival-analysis.qmd#def-noninformative-censoring" TargetMode="External" /><Relationship Type="http://schemas.openxmlformats.org/officeDocument/2006/relationships/hyperlink" Id="rId13" Target="intro-to-survival-analysis.qmd#def-right-censor" TargetMode="External" /><Relationship Type="http://schemas.openxmlformats.org/officeDocument/2006/relationships/hyperlink" Id="rId19" Target="intro-to-survival-analysis.qmd#def-risk-set" TargetMode="External" /><Relationship Type="http://schemas.openxmlformats.org/officeDocument/2006/relationships/hyperlink" Id="rId16" Target="intro-to-survival-analysis.qmd#def-surv-fn" TargetMode="External" /><Relationship Type="http://schemas.openxmlformats.org/officeDocument/2006/relationships/hyperlink" Id="rId12" Target="logistic-regression.qmd#def-logistic-regression" TargetMode="External" /><Relationship Type="http://schemas.openxmlformats.org/officeDocument/2006/relationships/hyperlink" Id="rId35" Target="parametric-survival-models.qmd" TargetMode="External" /><Relationship Type="http://schemas.openxmlformats.org/officeDocument/2006/relationships/hyperlink" Id="rId38" Target="parametric-survival-models.qmd#def-aft" TargetMode="External" /><Relationship Type="http://schemas.openxmlformats.org/officeDocument/2006/relationships/hyperlink" Id="rId36" Target="parametric-survival-models.qmd#def-exp-reg" TargetMode="External" /><Relationship Type="http://schemas.openxmlformats.org/officeDocument/2006/relationships/hyperlink" Id="rId28" Target="proportional-hazards-models.qmd" TargetMode="External" /><Relationship Type="http://schemas.openxmlformats.org/officeDocument/2006/relationships/hyperlink" Id="rId31" Target="proportional-hazards-models.qmd#def-base-hazard" TargetMode="External" /><Relationship Type="http://schemas.openxmlformats.org/officeDocument/2006/relationships/hyperlink" Id="rId34" Target="proportional-hazards-models.qmd#def-competing-risks" TargetMode="External" /><Relationship Type="http://schemas.openxmlformats.org/officeDocument/2006/relationships/hyperlink" Id="rId29" Target="proportional-hazards-models.qmd#def-ph-model" TargetMode="External" /><Relationship Type="http://schemas.openxmlformats.org/officeDocument/2006/relationships/hyperlink" Id="rId33" Target="proportional-hazards-models.qmd#def-ph-partial-li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2026-10-28T21:58:42Z</dcterms:created>
  <dcterms:modified xsi:type="dcterms:W3CDTF">2026-10-28T21:58:42Z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