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[1]</w:t>
      </w:r>
      <w:r>
        <w:t xml:space="preserve">)</w:t>
      </w:r>
    </w:p>
    <w:p>
      <w:pPr>
        <w:pStyle w:val="Compact"/>
        <w:numPr>
          <w:ilvl w:val="0"/>
          <w:numId w:val="1001"/>
        </w:numPr>
      </w:pPr>
      <w:r>
        <w:rPr>
          <w:i/>
          <w:iCs/>
        </w:rPr>
        <w:t xml:space="preserve">The Epidemiologist R Handbook</w:t>
      </w:r>
      <w:r>
        <w:t xml:space="preserve"> </w:t>
      </w:r>
      <w:r>
        <w:t xml:space="preserve">(</w:t>
      </w:r>
      <w:r>
        <w:t xml:space="preserve">Batra [2]</w:t>
      </w:r>
      <w:r>
        <w:t xml:space="preserve">)</w:t>
      </w:r>
    </w:p>
    <w:p>
      <w:pPr>
        <w:pStyle w:val="Compact"/>
        <w:numPr>
          <w:ilvl w:val="0"/>
          <w:numId w:val="1001"/>
        </w:numPr>
      </w:pPr>
      <w:r>
        <w:rPr>
          <w:i/>
          <w:iCs/>
        </w:rPr>
        <w:t xml:space="preserve">Practical R for Epidemiologists</w:t>
      </w:r>
      <w:r>
        <w:t xml:space="preserve"> </w:t>
      </w:r>
      <w:r>
        <w:t xml:space="preserve">(</w:t>
      </w:r>
      <w:r>
        <w:t xml:space="preserve">Myatt [3]</w:t>
      </w:r>
      <w:r>
        <w:t xml:space="preserve">)</w:t>
      </w:r>
    </w:p>
    <w:p>
      <w:pPr>
        <w:pStyle w:val="Compact"/>
        <w:numPr>
          <w:ilvl w:val="0"/>
          <w:numId w:val="1001"/>
        </w:numPr>
      </w:pPr>
      <w:r>
        <w:rPr>
          <w:i/>
          <w:iCs/>
        </w:rPr>
        <w:t xml:space="preserve">R for Data Science</w:t>
      </w:r>
      <w:r>
        <w:t xml:space="preserve"> </w:t>
      </w:r>
      <w:r>
        <w:t xml:space="preserve">(</w:t>
      </w:r>
      <w:r>
        <w:t xml:space="preserve">Wickham et al. [4]</w:t>
      </w:r>
      <w:r>
        <w:t xml:space="preserve">)</w:t>
      </w:r>
    </w:p>
    <w:p>
      <w:pPr>
        <w:pStyle w:val="Compact"/>
        <w:numPr>
          <w:ilvl w:val="0"/>
          <w:numId w:val="1001"/>
        </w:numPr>
      </w:pPr>
      <w:r>
        <w:rPr>
          <w:i/>
          <w:iCs/>
        </w:rPr>
        <w:t xml:space="preserve">Advanced R</w:t>
      </w:r>
      <w:r>
        <w:t xml:space="preserve"> </w:t>
      </w:r>
      <w:r>
        <w:t xml:space="preserve">(</w:t>
      </w:r>
      <w:r>
        <w:t xml:space="preserve">Wickham [5]</w:t>
      </w:r>
      <w:r>
        <w:t xml:space="preserve">)</w:t>
      </w:r>
    </w:p>
    <w:p>
      <w:pPr>
        <w:pStyle w:val="Compact"/>
        <w:numPr>
          <w:ilvl w:val="0"/>
          <w:numId w:val="1001"/>
        </w:numPr>
      </w:pPr>
      <w:r>
        <w:rPr>
          <w:i/>
          <w:iCs/>
        </w:rPr>
        <w:t xml:space="preserve">R Graphics Cookbook</w:t>
      </w:r>
      <w:r>
        <w:t xml:space="preserve"> </w:t>
      </w:r>
      <w:r>
        <w:t xml:space="preserve">(</w:t>
      </w:r>
      <w:r>
        <w:t xml:space="preserve">Chang [6]</w:t>
      </w:r>
      <w:r>
        <w:t xml:space="preserve">)</w:t>
      </w:r>
    </w:p>
    <w:p>
      <w:pPr>
        <w:pStyle w:val="Compact"/>
        <w:numPr>
          <w:ilvl w:val="0"/>
          <w:numId w:val="1001"/>
        </w:numPr>
      </w:pPr>
      <w:r>
        <w:rPr>
          <w:i/>
          <w:iCs/>
        </w:rPr>
        <w:t xml:space="preserve">R Packages</w:t>
      </w:r>
      <w:r>
        <w:t xml:space="preserve"> </w:t>
      </w:r>
      <w:r>
        <w:t xml:space="preserve">(</w:t>
      </w:r>
      <w:r>
        <w:t xml:space="preserve">Wickham and Bryan [7]</w:t>
      </w:r>
      <w:r>
        <w:t xml:space="preserve">)</w:t>
      </w:r>
    </w:p>
    <w:p>
      <w:pPr>
        <w:pStyle w:val="Compact"/>
        <w:numPr>
          <w:ilvl w:val="0"/>
          <w:numId w:val="1001"/>
        </w:numPr>
      </w:pPr>
      <w:r>
        <w:t xml:space="preserve">Nahhas [8]</w:t>
      </w:r>
      <w:r>
        <w:t xml:space="preserve"> </w:t>
      </w:r>
      <w:r>
        <w:t xml:space="preserve">(same author as</w:t>
      </w:r>
      <w:r>
        <w:t xml:space="preserve"> </w:t>
      </w:r>
      <w:r>
        <w:t xml:space="preserve">Nahhas [9]</w:t>
      </w:r>
      <w:r>
        <w:t xml:space="preserve">)</w:t>
      </w:r>
    </w:p>
    <w:p>
      <w:pPr>
        <w:pStyle w:val="Compact"/>
        <w:numPr>
          <w:ilvl w:val="0"/>
          <w:numId w:val="1001"/>
        </w:numPr>
      </w:pPr>
      <w:r>
        <w:t xml:space="preserve">Myatt [3]</w:t>
      </w:r>
    </w:p>
    <w:p>
      <w:pPr>
        <w:pStyle w:val="Compact"/>
        <w:numPr>
          <w:ilvl w:val="0"/>
          <w:numId w:val="1001"/>
        </w:numPr>
      </w:pPr>
      <w:r>
        <w:t xml:space="preserve">Aragon [10]</w:t>
      </w:r>
      <w:r>
        <w:t xml:space="preserve"> </w:t>
      </w:r>
      <w:r>
        <w:t xml:space="preserve">(previously</w:t>
      </w:r>
      <w:r>
        <w:t xml:space="preserve"> </w:t>
      </w:r>
      <w:r>
        <w:t xml:space="preserve">Aragon [11]</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[12]</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[13]</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[14]</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[15]</w:t>
      </w:r>
    </w:p>
    <w:p>
      <w:pPr>
        <w:pStyle w:val="Compact"/>
        <w:numPr>
          <w:ilvl w:val="0"/>
          <w:numId w:val="1011"/>
        </w:numPr>
      </w:pPr>
      <w:r>
        <w:t xml:space="preserve">Wickham et al. [4]</w:t>
      </w:r>
    </w:p>
    <w:p>
      <w:pPr>
        <w:pStyle w:val="Compact"/>
        <w:numPr>
          <w:ilvl w:val="0"/>
          <w:numId w:val="1011"/>
        </w:numPr>
      </w:pPr>
      <w:r>
        <w:t xml:space="preserve">Kuhn and Silge [16]</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[4]</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[17]</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[4]</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[18]</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[7]</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[19]</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w:t>
      </w:r>
      <w:r>
        <w:t xml:space="preserve"> </w:t>
      </w:r>
      <w:r>
        <w:t xml:space="preserve">first</w:t>
      </w:r>
    </w:p>
    <w:p>
      <w:pPr>
        <w:pStyle w:val="Compact"/>
        <w:numPr>
          <w:ilvl w:val="0"/>
          <w:numId w:val="1021"/>
        </w:numPr>
      </w:pPr>
      <w:r>
        <w:t xml:space="preserve">Use</w:t>
      </w:r>
      <w:r>
        <w:t xml:space="preserve"> </w:t>
      </w:r>
      <w:r>
        <w:t xml:space="preserve">Fay et al. [21]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r4epi"/>
    <w:p>
      <w:pPr>
        <w:pStyle w:val="Bibliography"/>
      </w:pPr>
      <w:r>
        <w:t xml:space="preserve">[1]</w:t>
      </w:r>
      <w:r>
        <w:t xml:space="preserve"> </w:t>
      </w:r>
      <w:r>
        <w:t xml:space="preserve">	</w:t>
      </w:r>
      <w:r>
        <w:t xml:space="preserve">B. Cannell and M. Livingston,</w:t>
      </w:r>
      <w:r>
        <w:t xml:space="preserve"> </w:t>
      </w:r>
      <w:r>
        <w:rPr>
          <w:i/>
          <w:iCs/>
        </w:rPr>
        <w:t xml:space="preserve">R for epidemiology</w:t>
      </w:r>
      <w:r>
        <w:t xml:space="preserve">. Online, 2024. Available:</w:t>
      </w:r>
      <w:r>
        <w:t xml:space="preserve"> </w:t>
      </w:r>
      <w:hyperlink r:id="rId98">
        <w:r>
          <w:rPr>
            <w:rStyle w:val="Hyperlink"/>
          </w:rPr>
          <w:t xml:space="preserve">https://www.r4epi.com/</w:t>
        </w:r>
      </w:hyperlink>
    </w:p>
    <w:bookmarkEnd w:id="99"/>
    <w:bookmarkStart w:id="101" w:name="ref-epirhb"/>
    <w:p>
      <w:pPr>
        <w:pStyle w:val="Bibliography"/>
      </w:pPr>
      <w:r>
        <w:t xml:space="preserve">[2]</w:t>
      </w:r>
      <w:r>
        <w:t xml:space="preserve"> </w:t>
      </w:r>
      <w:r>
        <w:t xml:space="preserve">	</w:t>
      </w:r>
      <w:r>
        <w:t xml:space="preserve">N. Batra, Ed.,</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 2024. Available:</w:t>
      </w:r>
      <w:r>
        <w:t xml:space="preserve"> </w:t>
      </w:r>
      <w:hyperlink r:id="rId100">
        <w:r>
          <w:rPr>
            <w:rStyle w:val="Hyperlink"/>
          </w:rPr>
          <w:t xml:space="preserve">https://www.epirhandbook.com/</w:t>
        </w:r>
      </w:hyperlink>
    </w:p>
    <w:bookmarkEnd w:id="101"/>
    <w:bookmarkStart w:id="103" w:name="ref-practicalr4epi"/>
    <w:p>
      <w:pPr>
        <w:pStyle w:val="Bibliography"/>
      </w:pPr>
      <w:r>
        <w:t xml:space="preserve">[3]</w:t>
      </w:r>
      <w:r>
        <w:t xml:space="preserve"> </w:t>
      </w:r>
      <w:r>
        <w:t xml:space="preserve">	</w:t>
      </w:r>
      <w:r>
        <w:t xml:space="preserve">M. Myatt,</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 2022. Available:</w:t>
      </w:r>
      <w:r>
        <w:t xml:space="preserve"> </w:t>
      </w:r>
      <w:hyperlink r:id="rId102">
        <w:r>
          <w:rPr>
            <w:rStyle w:val="Hyperlink"/>
          </w:rPr>
          <w:t xml:space="preserve">https://practical-r.org/index.html</w:t>
        </w:r>
      </w:hyperlink>
    </w:p>
    <w:bookmarkEnd w:id="103"/>
    <w:bookmarkStart w:id="105" w:name="ref-r4ds"/>
    <w:p>
      <w:pPr>
        <w:pStyle w:val="Bibliography"/>
      </w:pPr>
      <w:r>
        <w:t xml:space="preserve">[4]</w:t>
      </w:r>
      <w:r>
        <w:t xml:space="preserve"> </w:t>
      </w:r>
      <w:r>
        <w:t xml:space="preserve">	</w:t>
      </w:r>
      <w:r>
        <w:t xml:space="preserve">H. Wickham, M. Çetinkaya-Rundel, and G. Grolemund,</w:t>
      </w:r>
      <w:r>
        <w:t xml:space="preserve"> </w:t>
      </w:r>
      <w:r>
        <w:rPr>
          <w:i/>
          <w:iCs/>
        </w:rPr>
        <w:t xml:space="preserve">R for data science</w:t>
      </w:r>
      <w:r>
        <w:t xml:space="preserve">. " O’Reilly Media, Inc.", 2023. Available:</w:t>
      </w:r>
      <w:r>
        <w:t xml:space="preserve"> </w:t>
      </w:r>
      <w:hyperlink r:id="rId104">
        <w:r>
          <w:rPr>
            <w:rStyle w:val="Hyperlink"/>
          </w:rPr>
          <w:t xml:space="preserve">https://r4ds.hadley.nz/</w:t>
        </w:r>
      </w:hyperlink>
    </w:p>
    <w:bookmarkEnd w:id="105"/>
    <w:bookmarkStart w:id="107" w:name="ref-wickham2019advanced"/>
    <w:p>
      <w:pPr>
        <w:pStyle w:val="Bibliography"/>
      </w:pPr>
      <w:r>
        <w:t xml:space="preserve">[5]</w:t>
      </w:r>
      <w:r>
        <w:t xml:space="preserve"> </w:t>
      </w:r>
      <w:r>
        <w:t xml:space="preserve">	</w:t>
      </w:r>
      <w:r>
        <w:t xml:space="preserve">H. Wickham,</w:t>
      </w:r>
      <w:r>
        <w:t xml:space="preserve"> </w:t>
      </w:r>
      <w:r>
        <w:rPr>
          <w:i/>
          <w:iCs/>
        </w:rPr>
        <w:t xml:space="preserve">Advanced r</w:t>
      </w:r>
      <w:r>
        <w:t xml:space="preserve">. Chapman; Hall/CRC, 2019. Available:</w:t>
      </w:r>
      <w:r>
        <w:t xml:space="preserve"> </w:t>
      </w:r>
      <w:hyperlink r:id="rId106">
        <w:r>
          <w:rPr>
            <w:rStyle w:val="Hyperlink"/>
          </w:rPr>
          <w:t xml:space="preserve">https://adv-r.hadley.nz/index.html</w:t>
        </w:r>
      </w:hyperlink>
    </w:p>
    <w:bookmarkEnd w:id="107"/>
    <w:bookmarkStart w:id="109" w:name="ref-changRgraphicscookbook"/>
    <w:p>
      <w:pPr>
        <w:pStyle w:val="Bibliography"/>
      </w:pPr>
      <w:r>
        <w:t xml:space="preserve">[6]</w:t>
      </w:r>
      <w:r>
        <w:t xml:space="preserve"> </w:t>
      </w:r>
      <w:r>
        <w:t xml:space="preserve">	</w:t>
      </w:r>
      <w:r>
        <w:t xml:space="preserve">W. Chang,</w:t>
      </w:r>
      <w:r>
        <w:t xml:space="preserve"> </w:t>
      </w:r>
      <w:r>
        <w:rPr>
          <w:i/>
          <w:iCs/>
        </w:rPr>
        <w:t xml:space="preserve">R graphics cookbook: Practical recipes for visualizing data</w:t>
      </w:r>
      <w:r>
        <w:t xml:space="preserve">. O’Reilly Media, 2024. Available:</w:t>
      </w:r>
      <w:r>
        <w:t xml:space="preserve"> </w:t>
      </w:r>
      <w:hyperlink r:id="rId108">
        <w:r>
          <w:rPr>
            <w:rStyle w:val="Hyperlink"/>
          </w:rPr>
          <w:t xml:space="preserve">https://r-graphics.org/</w:t>
        </w:r>
      </w:hyperlink>
    </w:p>
    <w:bookmarkEnd w:id="109"/>
    <w:bookmarkStart w:id="111" w:name="ref-rpkgs"/>
    <w:p>
      <w:pPr>
        <w:pStyle w:val="Bibliography"/>
      </w:pPr>
      <w:r>
        <w:t xml:space="preserve">[7]</w:t>
      </w:r>
      <w:r>
        <w:t xml:space="preserve"> </w:t>
      </w:r>
      <w:r>
        <w:t xml:space="preserve">	</w:t>
      </w:r>
      <w:r>
        <w:t xml:space="preserve">H. Wickham and J. Bryan,</w:t>
      </w:r>
      <w:r>
        <w:t xml:space="preserve"> </w:t>
      </w:r>
      <w:r>
        <w:rPr>
          <w:i/>
          <w:iCs/>
        </w:rPr>
        <w:t xml:space="preserve">R</w:t>
      </w:r>
      <w:r>
        <w:rPr>
          <w:i/>
          <w:iCs/>
        </w:rPr>
        <w:t xml:space="preserve"> </w:t>
      </w:r>
      <w:r>
        <w:rPr>
          <w:i/>
          <w:iCs/>
        </w:rPr>
        <w:t xml:space="preserve">packages</w:t>
      </w:r>
      <w:r>
        <w:t xml:space="preserve">. O’Reilly Media, Inc., 2023. Available:</w:t>
      </w:r>
      <w:r>
        <w:t xml:space="preserve"> </w:t>
      </w:r>
      <w:hyperlink r:id="rId110">
        <w:r>
          <w:rPr>
            <w:rStyle w:val="Hyperlink"/>
          </w:rPr>
          <w:t xml:space="preserve">https://r-pkgs.org/</w:t>
        </w:r>
      </w:hyperlink>
    </w:p>
    <w:bookmarkEnd w:id="111"/>
    <w:bookmarkStart w:id="113" w:name="ref-NahhasIntroR"/>
    <w:p>
      <w:pPr>
        <w:pStyle w:val="Bibliography"/>
      </w:pPr>
      <w:r>
        <w:t xml:space="preserve">[8]</w:t>
      </w:r>
      <w:r>
        <w:t xml:space="preserve"> </w:t>
      </w:r>
      <w:r>
        <w:t xml:space="preserve">	</w:t>
      </w:r>
      <w:r>
        <w:t xml:space="preserve">R. W. Nahhas,</w:t>
      </w:r>
      <w:r>
        <w:t xml:space="preserve"> </w:t>
      </w:r>
      <w:r>
        <w:rPr>
          <w:i/>
          <w:iCs/>
        </w:rPr>
        <w:t xml:space="preserve">An introduction to r for research</w:t>
      </w:r>
      <w:r>
        <w:t xml:space="preserve">. 2023. Available:</w:t>
      </w:r>
      <w:r>
        <w:t xml:space="preserve"> </w:t>
      </w:r>
      <w:hyperlink r:id="rId112">
        <w:r>
          <w:rPr>
            <w:rStyle w:val="Hyperlink"/>
          </w:rPr>
          <w:t xml:space="preserve">https://bookdown.org/rwnahhas/IntroToR/</w:t>
        </w:r>
      </w:hyperlink>
    </w:p>
    <w:bookmarkEnd w:id="113"/>
    <w:bookmarkStart w:id="115" w:name="ref-NahhasIRMPHR"/>
    <w:p>
      <w:pPr>
        <w:pStyle w:val="Bibliography"/>
      </w:pPr>
      <w:r>
        <w:t xml:space="preserve">[9]</w:t>
      </w:r>
      <w:r>
        <w:t xml:space="preserve"> </w:t>
      </w:r>
      <w:r>
        <w:t xml:space="preserve">	</w:t>
      </w:r>
      <w:r>
        <w:t xml:space="preserve">R. W. Nahhas,</w:t>
      </w:r>
      <w:r>
        <w:t xml:space="preserve"> </w:t>
      </w:r>
      <w:r>
        <w:rPr>
          <w:i/>
          <w:iCs/>
        </w:rPr>
        <w:t xml:space="preserve">Introduction to regression methods for public health using</w:t>
      </w:r>
      <w:r>
        <w:rPr>
          <w:i/>
          <w:iCs/>
        </w:rPr>
        <w:t xml:space="preserve"> </w:t>
      </w:r>
      <w:r>
        <w:rPr>
          <w:i/>
          <w:iCs/>
        </w:rPr>
        <w:t xml:space="preserve">R</w:t>
      </w:r>
      <w:r>
        <w:t xml:space="preserve">. CRC Press, 2024. Available:</w:t>
      </w:r>
      <w:r>
        <w:t xml:space="preserve"> </w:t>
      </w:r>
      <w:hyperlink r:id="rId114">
        <w:r>
          <w:rPr>
            <w:rStyle w:val="Hyperlink"/>
          </w:rPr>
          <w:t xml:space="preserve">https://www.bookdown.org/rwnahhas/RMPH/</w:t>
        </w:r>
      </w:hyperlink>
    </w:p>
    <w:bookmarkEnd w:id="115"/>
    <w:bookmarkStart w:id="117" w:name="ref-phdswR"/>
    <w:p>
      <w:pPr>
        <w:pStyle w:val="Bibliography"/>
      </w:pPr>
      <w:r>
        <w:t xml:space="preserve">[10]</w:t>
      </w:r>
      <w:r>
        <w:t xml:space="preserve"> </w:t>
      </w:r>
      <w:r>
        <w:t xml:space="preserve">	</w:t>
      </w:r>
      <w:r>
        <w:t xml:space="preserve">T. J. Aragon,</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 2017. Available:</w:t>
      </w:r>
      <w:r>
        <w:t xml:space="preserve"> </w:t>
      </w:r>
      <w:hyperlink r:id="rId116">
        <w:r>
          <w:rPr>
            <w:rStyle w:val="Hyperlink"/>
          </w:rPr>
          <w:t xml:space="preserve">https://bookdown.org/medepi/phds/</w:t>
        </w:r>
      </w:hyperlink>
    </w:p>
    <w:bookmarkEnd w:id="117"/>
    <w:bookmarkStart w:id="119" w:name="ref-appliedepiusingR"/>
    <w:p>
      <w:pPr>
        <w:pStyle w:val="Bibliography"/>
      </w:pPr>
      <w:r>
        <w:t xml:space="preserve">[11]</w:t>
      </w:r>
      <w:r>
        <w:t xml:space="preserve"> </w:t>
      </w:r>
      <w:r>
        <w:t xml:space="preserve">	</w:t>
      </w:r>
      <w:r>
        <w:t xml:space="preserve">T. J. Aragon,</w:t>
      </w:r>
      <w:r>
        <w:t xml:space="preserve"> </w:t>
      </w:r>
      <w:r>
        <w:rPr>
          <w:i/>
          <w:iCs/>
        </w:rPr>
        <w:t xml:space="preserve">Applied epidemiology using</w:t>
      </w:r>
      <w:r>
        <w:rPr>
          <w:i/>
          <w:iCs/>
        </w:rPr>
        <w:t xml:space="preserve"> </w:t>
      </w:r>
      <w:r>
        <w:rPr>
          <w:i/>
          <w:iCs/>
        </w:rPr>
        <w:t xml:space="preserve">R</w:t>
      </w:r>
      <w:r>
        <w:t xml:space="preserve">. Online, 2013. Available:</w:t>
      </w:r>
      <w:r>
        <w:t xml:space="preserve"> </w:t>
      </w:r>
      <w:hyperlink r:id="rId118">
        <w:r>
          <w:rPr>
            <w:rStyle w:val="Hyperlink"/>
          </w:rPr>
          <w:t xml:space="preserve">https://tbrieder.org/epidata/course_reading/e_aragon.pdf</w:t>
        </w:r>
      </w:hyperlink>
    </w:p>
    <w:bookmarkEnd w:id="119"/>
    <w:bookmarkStart w:id="121" w:name="ref-kleinman2009sas"/>
    <w:p>
      <w:pPr>
        <w:pStyle w:val="Bibliography"/>
      </w:pPr>
      <w:r>
        <w:t xml:space="preserve">[12]</w:t>
      </w:r>
      <w:r>
        <w:t xml:space="preserve"> </w:t>
      </w:r>
      <w:r>
        <w:t xml:space="preserve">	</w:t>
      </w:r>
      <w:r>
        <w:t xml:space="preserve">K. Kleinman and N. J. Horton,</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 2009. Available:</w:t>
      </w:r>
      <w:r>
        <w:t xml:space="preserve"> </w:t>
      </w:r>
      <w:hyperlink r:id="rId120">
        <w:r>
          <w:rPr>
            <w:rStyle w:val="Hyperlink"/>
          </w:rPr>
          <w:t xml:space="preserve">https://www.routledge.com/SAS-and-R-Data-Management-Statistical-Analysis-and-Graphics-Second-Edition/Kleinman-Horton/p/book/9781466584495</w:t>
        </w:r>
      </w:hyperlink>
    </w:p>
    <w:bookmarkEnd w:id="121"/>
    <w:bookmarkStart w:id="123" w:name="ref-muenchen2011r"/>
    <w:p>
      <w:pPr>
        <w:pStyle w:val="Bibliography"/>
      </w:pPr>
      <w:r>
        <w:t xml:space="preserve">[13]</w:t>
      </w:r>
      <w:r>
        <w:t xml:space="preserve"> </w:t>
      </w:r>
      <w:r>
        <w:t xml:space="preserve">	</w:t>
      </w:r>
      <w:r>
        <w:t xml:space="preserve">R. A. Muenchen,</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 2011. Available:</w:t>
      </w:r>
      <w:r>
        <w:t xml:space="preserve"> </w:t>
      </w:r>
      <w:hyperlink r:id="rId122">
        <w:r>
          <w:rPr>
            <w:rStyle w:val="Hyperlink"/>
          </w:rPr>
          <w:t xml:space="preserve">https://link.springer.com/book/10.1007/978-1-4614-0685-3</w:t>
        </w:r>
      </w:hyperlink>
    </w:p>
    <w:bookmarkEnd w:id="123"/>
    <w:bookmarkStart w:id="125" w:name="ref-rapR"/>
    <w:p>
      <w:pPr>
        <w:pStyle w:val="Bibliography"/>
      </w:pPr>
      <w:r>
        <w:t xml:space="preserve">[14]</w:t>
      </w:r>
      <w:r>
        <w:t xml:space="preserve"> </w:t>
      </w:r>
      <w:r>
        <w:t xml:space="preserve">	</w:t>
      </w:r>
      <w:r>
        <w:t xml:space="preserve">B. Rodrigues,</w:t>
      </w:r>
      <w:r>
        <w:t xml:space="preserve"> </w:t>
      </w:r>
      <w:r>
        <w:rPr>
          <w:i/>
          <w:iCs/>
        </w:rPr>
        <w:t xml:space="preserve">Building reproducible analytical pipelines with r</w:t>
      </w:r>
      <w:r>
        <w:t xml:space="preserve">. Online, 2023. Available:</w:t>
      </w:r>
      <w:r>
        <w:t xml:space="preserve"> </w:t>
      </w:r>
      <w:hyperlink r:id="rId124">
        <w:r>
          <w:rPr>
            <w:rStyle w:val="Hyperlink"/>
          </w:rPr>
          <w:t xml:space="preserve">https://raps-with-r.dev/</w:t>
        </w:r>
      </w:hyperlink>
    </w:p>
    <w:bookmarkEnd w:id="125"/>
    <w:bookmarkStart w:id="127" w:name="ref-welcometidyverse"/>
    <w:p>
      <w:pPr>
        <w:pStyle w:val="Bibliography"/>
      </w:pPr>
      <w:r>
        <w:t xml:space="preserve">[15]</w:t>
      </w:r>
      <w:r>
        <w:t xml:space="preserve"> </w:t>
      </w:r>
      <w:r>
        <w:t xml:space="preserve">	</w:t>
      </w:r>
      <w:r>
        <w:t xml:space="preserve">H. Wickham</w:t>
      </w:r>
      <w:r>
        <w:t xml:space="preserve"> </w:t>
      </w:r>
      <w:r>
        <w:rPr>
          <w:i/>
          <w:iCs/>
        </w:rPr>
        <w:t xml:space="preserve">et al.</w:t>
      </w:r>
      <w:r>
        <w:t xml:space="preserve">,</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vol. 4, no. 43, p. 1686, 2019, doi:</w:t>
      </w:r>
      <w:r>
        <w:t xml:space="preserve"> </w:t>
      </w:r>
      <w:hyperlink r:id="rId126">
        <w:r>
          <w:rPr>
            <w:rStyle w:val="Hyperlink"/>
          </w:rPr>
          <w:t xml:space="preserve">10.21105/joss.01686</w:t>
        </w:r>
      </w:hyperlink>
      <w:r>
        <w:t xml:space="preserve">.</w:t>
      </w:r>
    </w:p>
    <w:bookmarkEnd w:id="127"/>
    <w:bookmarkStart w:id="129" w:name="ref-kuhn2022tidy"/>
    <w:p>
      <w:pPr>
        <w:pStyle w:val="Bibliography"/>
      </w:pPr>
      <w:r>
        <w:t xml:space="preserve">[16]</w:t>
      </w:r>
      <w:r>
        <w:t xml:space="preserve"> </w:t>
      </w:r>
      <w:r>
        <w:t xml:space="preserve">	</w:t>
      </w:r>
      <w:r>
        <w:t xml:space="preserve">M. Kuhn and J. Silge,</w:t>
      </w:r>
      <w:r>
        <w:t xml:space="preserve"> </w:t>
      </w:r>
      <w:r>
        <w:rPr>
          <w:i/>
          <w:iCs/>
        </w:rPr>
        <w:t xml:space="preserve">Tidy modeling with r</w:t>
      </w:r>
      <w:r>
        <w:t xml:space="preserve">. " O’Reilly Media, Inc.", 2022. Available:</w:t>
      </w:r>
      <w:r>
        <w:t xml:space="preserve"> </w:t>
      </w:r>
      <w:hyperlink r:id="rId128">
        <w:r>
          <w:rPr>
            <w:rStyle w:val="Hyperlink"/>
          </w:rPr>
          <w:t xml:space="preserve">https://www.tmwr.org/</w:t>
        </w:r>
      </w:hyperlink>
    </w:p>
    <w:bookmarkEnd w:id="129"/>
    <w:bookmarkStart w:id="131" w:name="ref-magrittr"/>
    <w:p>
      <w:pPr>
        <w:pStyle w:val="Bibliography"/>
      </w:pPr>
      <w:r>
        <w:t xml:space="preserve">[17]</w:t>
      </w:r>
      <w:r>
        <w:t xml:space="preserve"> </w:t>
      </w:r>
      <w:r>
        <w:t xml:space="preserve">	</w:t>
      </w:r>
      <w:r>
        <w:t xml:space="preserve">S. M. Bache and H. Wickham,</w:t>
      </w:r>
      <w:r>
        <w:t xml:space="preserve"> </w:t>
      </w:r>
      <w:r>
        <w:rPr>
          <w:i/>
          <w:iCs/>
        </w:rPr>
        <w:t xml:space="preserve">Magrittr: A forward-pipe operator for r</w:t>
      </w:r>
      <w:r>
        <w:t xml:space="preserve">. 2022. Available:</w:t>
      </w:r>
      <w:r>
        <w:t xml:space="preserve"> </w:t>
      </w:r>
      <w:hyperlink r:id="rId130">
        <w:r>
          <w:rPr>
            <w:rStyle w:val="Hyperlink"/>
          </w:rPr>
          <w:t xml:space="preserve">https://CRAN.R-project.org/package=magrittr</w:t>
        </w:r>
      </w:hyperlink>
    </w:p>
    <w:bookmarkEnd w:id="131"/>
    <w:bookmarkStart w:id="133" w:name="ref-knuth84"/>
    <w:p>
      <w:pPr>
        <w:pStyle w:val="Bibliography"/>
      </w:pPr>
      <w:r>
        <w:t xml:space="preserve">[18]</w:t>
      </w:r>
      <w:r>
        <w:t xml:space="preserve"> </w:t>
      </w:r>
      <w:r>
        <w:t xml:space="preserve">	</w:t>
      </w:r>
      <w:r>
        <w:t xml:space="preserve">D. E. Knuth,</w:t>
      </w:r>
      <w:r>
        <w:t xml:space="preserve"> </w:t>
      </w:r>
      <w:r>
        <w:t xml:space="preserve">“Literate programming,”</w:t>
      </w:r>
      <w:r>
        <w:t xml:space="preserve"> </w:t>
      </w:r>
      <w:r>
        <w:rPr>
          <w:i/>
          <w:iCs/>
        </w:rPr>
        <w:t xml:space="preserve">Comput. J.</w:t>
      </w:r>
      <w:r>
        <w:t xml:space="preserve">, vol. 27, no. 2, pp. 97–111, May 1984, doi:</w:t>
      </w:r>
      <w:r>
        <w:t xml:space="preserve"> </w:t>
      </w:r>
      <w:hyperlink r:id="rId132">
        <w:r>
          <w:rPr>
            <w:rStyle w:val="Hyperlink"/>
          </w:rPr>
          <w:t xml:space="preserve">10.1093/comjnl/27.2.97</w:t>
        </w:r>
      </w:hyperlink>
      <w:r>
        <w:t xml:space="preserve">.</w:t>
      </w:r>
    </w:p>
    <w:bookmarkEnd w:id="133"/>
    <w:bookmarkStart w:id="135" w:name="ref-spatialds"/>
    <w:p>
      <w:pPr>
        <w:pStyle w:val="Bibliography"/>
      </w:pPr>
      <w:r>
        <w:t xml:space="preserve">[19]</w:t>
      </w:r>
      <w:r>
        <w:t xml:space="preserve"> </w:t>
      </w:r>
      <w:r>
        <w:t xml:space="preserve">	</w:t>
      </w:r>
      <w:r>
        <w:t xml:space="preserve">E. Pebesma and R. Bivand,</w:t>
      </w:r>
      <w:r>
        <w:t xml:space="preserve"> </w:t>
      </w:r>
      <w:r>
        <w:rPr>
          <w:i/>
          <w:iCs/>
        </w:rPr>
        <w:t xml:space="preserve">Spatial data science: With applications in</w:t>
      </w:r>
      <w:r>
        <w:rPr>
          <w:i/>
          <w:iCs/>
        </w:rPr>
        <w:t xml:space="preserve"> </w:t>
      </w:r>
      <w:r>
        <w:rPr>
          <w:i/>
          <w:iCs/>
        </w:rPr>
        <w:t xml:space="preserve">R</w:t>
      </w:r>
      <w:r>
        <w:t xml:space="preserve">. Boca Raton: Chapman; Hall/CRC, 2023. doi:</w:t>
      </w:r>
      <w:r>
        <w:t xml:space="preserve"> </w:t>
      </w:r>
      <w:hyperlink r:id="rId134">
        <w:r>
          <w:rPr>
            <w:rStyle w:val="Hyperlink"/>
          </w:rPr>
          <w:t xml:space="preserve">10.1201/9780429459016</w:t>
        </w:r>
      </w:hyperlink>
      <w:r>
        <w:t xml:space="preserve">.</w:t>
      </w:r>
    </w:p>
    <w:bookmarkEnd w:id="135"/>
    <w:bookmarkStart w:id="137" w:name="ref-masteringshiny"/>
    <w:p>
      <w:pPr>
        <w:pStyle w:val="Bibliography"/>
      </w:pPr>
      <w:r>
        <w:t xml:space="preserve">[20]</w:t>
      </w:r>
      <w:r>
        <w:t xml:space="preserve"> </w:t>
      </w:r>
      <w:r>
        <w:t xml:space="preserve">	</w:t>
      </w:r>
      <w:r>
        <w:t xml:space="preserve">H. Wickham,</w:t>
      </w:r>
      <w:r>
        <w:t xml:space="preserve"> </w:t>
      </w:r>
      <w:r>
        <w:rPr>
          <w:i/>
          <w:iCs/>
        </w:rPr>
        <w:t xml:space="preserve">Mastering shiny</w:t>
      </w:r>
      <w:r>
        <w:t xml:space="preserve">. " O’Reilly Media, Inc.", 2021. Available:</w:t>
      </w:r>
      <w:r>
        <w:t xml:space="preserve"> </w:t>
      </w:r>
      <w:hyperlink r:id="rId136">
        <w:r>
          <w:rPr>
            <w:rStyle w:val="Hyperlink"/>
          </w:rPr>
          <w:t xml:space="preserve">https://mastering-shiny.org/</w:t>
        </w:r>
      </w:hyperlink>
    </w:p>
    <w:bookmarkEnd w:id="137"/>
    <w:bookmarkStart w:id="139" w:name="ref-golembook"/>
    <w:p>
      <w:pPr>
        <w:pStyle w:val="Bibliography"/>
      </w:pPr>
      <w:r>
        <w:t xml:space="preserve">[21]</w:t>
      </w:r>
      <w:r>
        <w:t xml:space="preserve"> </w:t>
      </w:r>
      <w:r>
        <w:t xml:space="preserve">	</w:t>
      </w:r>
      <w:r>
        <w:t xml:space="preserve">C. Fay, S. Rochette, V. Guyader, and C. Girard,</w:t>
      </w:r>
      <w:r>
        <w:t xml:space="preserve"> </w:t>
      </w:r>
      <w:r>
        <w:rPr>
          <w:i/>
          <w:iCs/>
        </w:rPr>
        <w:t xml:space="preserve">Engineering production-grade shiny apps</w:t>
      </w:r>
      <w:r>
        <w:t xml:space="preserve">. Chapman; Hall/CRC, 2021. Available:</w:t>
      </w:r>
      <w:r>
        <w:t xml:space="preserve"> </w:t>
      </w:r>
      <w:hyperlink r:id="rId138">
        <w:r>
          <w:rPr>
            <w:rStyle w:val="Hyperlink"/>
          </w:rPr>
          <w:t xml:space="preserve">https://engineering-shiny.org/</w:t>
        </w:r>
      </w:hyperlink>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30"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06"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16" Target="https://bookdown.org/medepi/phds/" TargetMode="External" /><Relationship Type="http://schemas.openxmlformats.org/officeDocument/2006/relationships/hyperlink" Id="rId11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32" Target="https://doi.org/10.1093/comjnl/27.2.97" TargetMode="External" /><Relationship Type="http://schemas.openxmlformats.org/officeDocument/2006/relationships/hyperlink" Id="rId134" Target="https://doi.org/10.1201/9780429459016" TargetMode="External" /><Relationship Type="http://schemas.openxmlformats.org/officeDocument/2006/relationships/hyperlink" Id="rId126"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38"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22"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6"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02"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10"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04"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4"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11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14" Target="https://www.bookdown.org/rwnahhas/RMPH/" TargetMode="External" /><Relationship Type="http://schemas.openxmlformats.org/officeDocument/2006/relationships/hyperlink" Id="rId100"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98" Target="https://www.r4epi.com/" TargetMode="External" /><Relationship Type="http://schemas.openxmlformats.org/officeDocument/2006/relationships/hyperlink" Id="rId120"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28"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2026-10-19T10:26:28Z</dcterms:created>
  <dcterms:modified xsi:type="dcterms:W3CDTF">2026-10-19T10:26:28Z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sl">
    <vt:lpwstr>../latex-macros/citations/numeric-author.csl</vt:lpwstr>
  </property>
  <property fmtid="{D5CDD505-2E9C-101B-9397-08002B2CF9AE}" pid="8" name="custom-callout">
    <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