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Event rate</w:t>
        </w:r>
      </w:hyperlink>
      <w:r>
        <w:t xml:space="preserve"> </w:t>
      </w:r>
      <w:r>
        <w:t xml:space="preserve">outcomes:</w:t>
      </w:r>
      <w:r>
        <w:t xml:space="preserve"> </w:t>
      </w:r>
      <w:hyperlink r:id="rId12">
        <w:r>
          <w:rPr>
            <w:rStyle w:val="Hyperlink"/>
          </w:rPr>
          <w:t xml:space="preserve">Poisson</w:t>
        </w:r>
      </w:hyperlink>
      <w:r>
        <w:t xml:space="preserve">/</w:t>
      </w:r>
      <w:hyperlink r:id="rId1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</w:t>
      </w:r>
      <w:r>
        <w:t xml:space="preserve"> </w:t>
      </w:r>
      <w:hyperlink r:id="rId14">
        <w:r>
          <w:rPr>
            <w:rStyle w:val="Hyperlink"/>
          </w:rPr>
          <w:t xml:space="preserve">Gaussian</w:t>
        </w:r>
      </w:hyperlink>
      <w:r>
        <w:t xml:space="preserve"> </w:t>
      </w:r>
      <w:r>
        <w:t xml:space="preserve">models</w:t>
      </w:r>
    </w:p>
    <w:bookmarkEnd w:id="15"/>
    <w:bookmarkStart w:id="24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</w:t>
      </w:r>
      <w:r>
        <w:t xml:space="preserve"> </w:t>
      </w:r>
      <w:hyperlink r:id="rId16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</w:t>
      </w:r>
      <w:r>
        <w:t xml:space="preserve"> </w:t>
      </w:r>
      <w:hyperlink r:id="rId17">
        <w:r>
          <w:rPr>
            <w:rStyle w:val="Hyperlink"/>
          </w:rPr>
          <w:t xml:space="preserve">offset</w:t>
        </w:r>
      </w:hyperlink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linear predictor</w:t>
        </w:r>
      </w:hyperlink>
      <w:r>
        <w:t xml:space="preserve"> </w:t>
      </w:r>
      <m:oMath>
        <m:r>
          <m:t>η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odel-diagrams"/>
          <w:p>
            <w:pPr>
              <w:jc w:val="center"/>
            </w:pPr>
            <w:hyperlink r:id="rId19">
              <w:r>
                <w:rPr>
                  <w:rStyle w:val="Hyperlink"/>
                </w:rPr>
                <w:t xml:space="preserve">Linear</w:t>
              </w:r>
            </w:hyperlink>
            <w:r>
              <w:t xml:space="preserve"> </w:t>
            </w:r>
            <w:r>
              <w:t xml:space="preserve">(Gaussian):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→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linear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predictor</m:t>
                          </m:r>
                        </m:e>
                      </m:mr>
                    </m:m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+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hyperlink r:id="rId20">
              <w:r>
                <w:rPr>
                  <w:rStyle w:val="Hyperlink"/>
                </w:rPr>
                <w:t xml:space="preserve">Logistic</w:t>
              </w:r>
            </w:hyperlink>
            <w:r>
              <w:t xml:space="preserve"> </w:t>
            </w:r>
            <w:r>
              <w:t xml:space="preserve">(Binomial):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probability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den>
                        </m:f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odds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+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Count (</w:t>
            </w:r>
            <w:hyperlink r:id="rId12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t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rate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log-rate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jc w:val="center"/>
            </w:pPr>
            <w:r>
              <w:t xml:space="preserve">Survival (</w:t>
            </w:r>
            <w:hyperlink r:id="rId21">
              <w:r>
                <w:rPr>
                  <w:rStyle w:val="Hyperlink"/>
                </w:rPr>
                <w:t xml:space="preserve">Cox PH</w:t>
              </w:r>
            </w:hyperlink>
            <w:r>
              <w:t xml:space="preserve">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←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nary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survival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cumulative 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p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log-hazard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GLMs</w:t>
              </w:r>
            </w:hyperlink>
            <w:r>
              <w:t xml:space="preserve"> </w:t>
            </w:r>
            <w:r>
              <w:t xml:space="preserve">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23"/>
        </w:tc>
      </w:tr>
    </w:tbl>
    <w:bookmarkEnd w:id="24"/>
    <w:bookmarkStart w:id="29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likelihood</w:t>
        </w:r>
      </w:hyperlink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log-likelihood</w:t>
        </w:r>
      </w:hyperlink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score function</w:t>
        </w:r>
      </w:hyperlink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hessian</w:t>
        </w:r>
      </w:hyperlink>
    </w:p>
    <w:bookmarkEnd w:id="29"/>
    <w:bookmarkStart w:id="35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observed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expected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standard error</w:t>
        </w:r>
      </w:hyperlink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p-values</w:t>
        </w:r>
      </w:hyperlink>
    </w:p>
    <w:bookmarkEnd w:id="35"/>
    <w:bookmarkStart w:id="38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</w:t>
      </w:r>
      <w:hyperlink r:id="rId36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BIC</w:t>
        </w:r>
      </w:hyperlink>
      <w:r>
        <w:t xml:space="preserve">)</w:t>
      </w:r>
    </w:p>
    <w:bookmarkEnd w:id="38"/>
    <w:bookmarkStart w:id="40" w:name="references"/>
    <w:p>
      <w:pPr>
        <w:pStyle w:val="Heading1"/>
      </w:pPr>
      <w:r>
        <w:t xml:space="preserve">References</w:t>
      </w:r>
    </w:p>
    <w:bookmarkStart w:id="39" w:name="refs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2026-10-17T10:45:17Z</dcterms:created>
  <dcterms:modified xsi:type="dcterms:W3CDTF">2026-10-17T10:45:17Z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