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" w:name="tbl-outcome-typ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Outcome types, examples, and the regression analyses that match them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Examples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3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diseased/not; died/survived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4">
                          <w:r>
                            <w:rPr>
                              <w:rStyle w:val="Hyperlink"/>
                            </w:rPr>
                            <w:t xml:space="preserve">logistic regression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5">
                          <w:r>
                            <w:rPr>
                              <w:rStyle w:val="Hyperlink"/>
                            </w:rPr>
                            <w:t xml:space="preserve">count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infections per month; number of follow-up visits per 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 regression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to 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from exposure until disease onset; time from onset until recurrence; time from disease onset until disease progression; time from onset until death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survival 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6">
                          <w:r>
                            <w:rPr>
                              <w:rStyle w:val="Hyperlink"/>
                            </w:rPr>
                            <w:t xml:space="preserve">ordered levels</w:t>
                          </w:r>
                        </w:hyperlink>
                        <w:r>
                          <w:rPr>
                            <w:rStyle w:val="FootnoteReference"/>
                          </w:rPr>
                          <w:footnoteReference w:id="57"/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pain level (0 to 10 scale); approval rating (0 to 5 stars)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ordinal regression</w:t>
                        </w:r>
                      </w:p>
                    </w:tc>
                  </w:tr>
                </w:tbl>
                <w:bookmarkEnd w:id="58"/>
                <w:p/>
              </w:tc>
            </w:tr>
          </w:tbl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tbl-regression-uses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Comparing the categorizations of regression model uses in</w:t>
                  </w:r>
                  <w:r>
                    <w:t xml:space="preserve"> </w:t>
                  </w:r>
                  <w:r>
                    <w:t xml:space="preserve">Vittinghoff et al. [3, Sec. 1.3]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Kleinbaum et al. [4, Sec. 4.1]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Vittinghoff et al. [3]</w:t>
                        </w:r>
                        <w:r>
                          <w:t xml:space="preserve"> </w:t>
                        </w:r>
                        <w:r>
                          <w:t xml:space="preserve">category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Kleinbaum et al. [4]</w:t>
                        </w:r>
                        <w:r>
                          <w:t xml:space="preserve"> </w:t>
                        </w:r>
                        <w:r>
                          <w:t xml:space="preserve">application(s)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2 (prediction)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Isolating the Effect of a Single 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8 (adjusted coefficient estimation)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Understanding Multiple Predictors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      </w:r>
                      </w:p>
                    </w:tc>
                  </w:tr>
                </w:tbl>
                <w:bookmarkEnd w:id="64"/>
                <w:p/>
              </w:tc>
            </w:tr>
          </w:tbl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" w:name="fig-palmer-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1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Palmer penguins</w:t>
                  </w:r>
                </w:p>
                <w:bookmarkEnd w:id="81"/>
              </w:tc>
            </w:tr>
          </w:tbl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6" w:name="fig-palmer-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2-1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Palmer penguins with linear regression fit</w:t>
                  </w:r>
                </w:p>
                <w:bookmarkEnd w:id="86"/>
              </w:tc>
            </w:tr>
          </w:tbl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palmer-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3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Palmer penguins - curved regression lines</w:t>
                  </w:r>
                </w:p>
                <w:bookmarkEnd w:id="91"/>
              </w:tc>
            </w:tr>
          </w:tbl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palmer-4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4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Palmer penguins - multiple groups</w:t>
                  </w:r>
                </w:p>
                <w:bookmarkEnd w:id="96"/>
              </w:tc>
            </w:tr>
          </w:tbl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beetles_1a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1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 after five hours’ exposure to gaseous carbon disulphide (Bliss 1935).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bookmarkEnd w:id="101"/>
              </w:tc>
            </w:tr>
          </w:tbl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fig-beetles-plo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2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06"/>
              </w:tc>
            </w:tr>
          </w:tbl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beetles2"/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3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11"/>
              </w:tc>
            </w:tr>
          </w:tbl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fig-beetles3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4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Mortality rates of adult flour beetles after five hours’ exposure to gaseous carbon disulphide (Bliss 1935)</w:t>
                  </w:r>
                </w:p>
                <w:bookmarkEnd w:id="116"/>
              </w:tc>
            </w:tr>
          </w:tbl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fig-beetles4b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glm1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(plot4)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5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 (Bliss 1935)</w:t>
                  </w:r>
                </w:p>
                <w:bookmarkEnd w:id="121"/>
              </w:tc>
            </w:tr>
          </w:tbl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$$\mathbb{P}(Y|\mathord{\smash[b]{\underset{\raise.3ex\hbox{$\scriptstyle\sim$}}{X}}\vphantom{X}})$$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$\mathbb{P}(Y|\mathord{\smash[b]{\underset{\raise.3ex\hbox{$\scriptstyle\sim$}}{X}}\vphantom{X}})$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tbl-regression-antonym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Common pairings of terms for variables</w:t>
                  </w:r>
                  <w:r>
                    <w:t xml:space="preserve"> </w:t>
                  </w:r>
                  <w:r>
                    <w:t xml:space="preserve">$\mathord{\smash[b]{\underset{\raise.3ex\hbox{$\scriptstyle\sim$}}{X}}\vphantom{X}}$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in regression models</w:t>
                  </w:r>
                  <w:r>
                    <w:t xml:space="preserve"> </w:t>
                  </w:r>
                  <w:r>
                    <w:t xml:space="preserve">$P(Y|\mathord{\smash[b]{\underset{\raise.3ex\hbox{$\scriptstyle\sim$}}{X}}\vphantom{X}})$</w:t>
                  </w:r>
                  <w:r>
                    <w:t xml:space="preserve"> </w:t>
                  </w:r>
                  <w:r>
                    <w:rPr>
                      <w:rStyle w:val="FootnoteReference"/>
                    </w:rPr>
                    <w:footnoteReference w:id="131"/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$\mathord{\smash[b]{\underset{\raise.3ex\hbox{$\scriptstyle\sim$}}{X}}\vphantom{X}}$</w:t>
                        </w:r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usual context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predicted or response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explanatory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explained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endogenous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econometrics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manipulated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measured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randomized controlled experiments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epidemiology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feature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label or target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machine learning</w:t>
                        </w:r>
                      </w:p>
                    </w:tc>
                  </w:tr>
                </w:tbl>
                <w:bookmarkEnd w:id="13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${\operatorname{log}\mathopen{}\left\{\frac{\mu(y)}{1-\mu(y)}\right\}\mathclose{}}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${\operatorname{log}\mathopen{}\left\{\mu(y)\right\}\mathclose{}}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${\operatorname{log}\mathopen{}\left\{-{\operatorname{log}\mathopen{}\left\{1-\mu(y)\right\}\mathclose{}}\right\}\mathclose{}}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{\operatorname{log}\mathopen{}\left\{x\right\}\mathclose{}}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(Linear in the coefficients, not in the covariates)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{\operatorname{exp}\mathopen{}\left\{\eta(\mathord{\smash[b]{\underset{\raise.3ex\hbox{$\scriptstyle\sim$}}{x}}\vphantom{x}})\right\}\mathclose{}}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(Slopes under a non-identity link)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and simplify each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fraction as a product of two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variance function and the variance)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\stackrel{\text{def}}{=}{\mathbb{E}\mathopen{}\left[Y_i | \mathord{\smash[b]{\underset{\raise.3ex\hbox{$\scriptstyle\sim$}}{X}}\vphantom{X}}_i = \mathord{\smash[b]{\underset{\raise.3ex\hbox{$\scriptstyle\sim$}}{x}}\vphantom{x}}_i\right]\mathclose{}}$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0" w:name="tbl-chronic-cou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Frequency distribution of the number of chronic medical conditions,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  <w:r>
                          <w:t xml:space="preserve"> </w:t>
                        </w:r>
                        <w:r>
                          <w:t xml:space="preserve">[10, Sec. 2.2.1], Table 2.1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residence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residence,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conditions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conditions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conditions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residence  0  1  2  3  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town     6 10  4  5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country  9  8  5  1  0</w:t>
                        </w:r>
                      </w:p>
                      <w:bookmarkEnd w:id="190"/>
                    </w:tc>
                  </w:tr>
                </w:tbl>
              </w:tc>
            </w:tr>
          </w:tbl>
          <w:bookmarkEnd w:id="191"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p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\underbrace{{\ell''\mathopen{}\left(\mathord{\smash[b]{\underset{\raise.3ex\hbox{$\scriptstyle\sim$}}{\beta}}\vphantom{\beta}}\right)\mathclose{}}}_{2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{\ell''\mathopen{}\left(\mathord{\smash[b]{\underset{\raise.3ex\hbox{$\scriptstyle\sim$}}{\beta}}\vphantom{\beta}}\right)\mathclose{}}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3" w:name="fig-chronic-pearson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pearson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r_pearson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(chronic,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residence,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pearson))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geom_jitter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height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"Residence"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"Pearson residual"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1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GLMs_files/figure-docx/unnamed-chunk-9-1.png" id="21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Pearson residuals from the Poisson model for the chronic medical conditions data,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</w:p>
                      <w:bookmarkEnd w:id="213"/>
                    </w:tc>
                  </w:tr>
                </w:tbl>
              </w:tc>
            </w:tr>
          </w:tbl>
          <w:bookmarkEnd w:id="214"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then cancel the common factors)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\stackrel{\text{def}}{=}{\mathbb{E}\mathopen{}\left[Y \mid \mathord{\smash[b]{\underset{\raise.3ex\hbox{$\scriptstyle\sim$}}{X}}\vphantom{X}}= \mathord{\smash[b]{\underset{\raise.3ex\hbox{$\scriptstyle\sim$}}{x}}\vphantom{x}}\right]\mathclose{}}$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7" w:name="tbl-glm-famil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Families and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Family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log, inverse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cauchit, log, cloglog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inverse</w:t>
                        </w:r>
                        <w:r>
                          <w:t xml:space="preserve">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inverse.gaussian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1/mu^2</w:t>
                        </w:r>
                        <w:r>
                          <w:t xml:space="preserve">, inverse,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logit, probit,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identity,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logit, probit, cloglog, inverse, 1/mu^2 and sqrt</w:t>
                        </w:r>
                      </w:p>
                    </w:tc>
                  </w:tr>
                </w:tbl>
                <w:bookmarkEnd w:id="227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tbl-glm-link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  <w:r>
                    <w:t xml:space="preserve">, where</w:t>
                  </w:r>
                  <w:r>
                    <w:t xml:space="preserve"> </w:t>
                  </w:r>
                  <w:r>
                    <w:t xml:space="preserve">$\eta \stackrel{\text{def}}{=}\mathord{\smash[b]{\underset{\raise.3ex\hbox{$\scriptstyle\sim$}}{x}}\vphantom{x}}\cdot \mathord{\smash[b]{\underset{\raise.3ex\hbox{$\scriptstyle\sim$}}{\beta}}\vphantom{\beta}}= g(\mu)$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672"/>
                    <w:gridCol w:w="1419"/>
                    <w:gridCol w:w="1419"/>
                    <w:gridCol w:w="2017"/>
                    <w:gridCol w:w="23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Domain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 Link Function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identity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probit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Φ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cloglog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log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η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1/mu^2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η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sqrt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μ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η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28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2026-10-23T18:28:14Z</dcterms:created>
  <dcterms:modified xsi:type="dcterms:W3CDTF">2026-10-23T18:28:14Z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