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5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</w:t>
      </w:r>
      <w:r>
        <w:t xml:space="preserve"> </w:t>
      </w:r>
      <w:hyperlink r:id="rId1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Event rate</w:t>
        </w:r>
      </w:hyperlink>
      <w:r>
        <w:t xml:space="preserve"> </w:t>
      </w:r>
      <w:r>
        <w:t xml:space="preserve">outcomes:</w:t>
      </w:r>
      <w:r>
        <w:t xml:space="preserve"> </w:t>
      </w:r>
      <w:hyperlink r:id="rId12">
        <w:r>
          <w:rPr>
            <w:rStyle w:val="Hyperlink"/>
          </w:rPr>
          <w:t xml:space="preserve">Poisson</w:t>
        </w:r>
      </w:hyperlink>
      <w:r>
        <w:t xml:space="preserve">/</w:t>
      </w:r>
      <w:hyperlink r:id="rId13">
        <w:r>
          <w:rPr>
            <w:rStyle w:val="Hyperlink"/>
          </w:rPr>
          <w:t xml:space="preserve">Negative binomial</w:t>
        </w:r>
      </w:hyperlink>
      <w:r>
        <w:t xml:space="preserve"> </w:t>
      </w:r>
      <w:r>
        <w:t xml:space="preserve">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</w:t>
      </w:r>
      <w:r>
        <w:t xml:space="preserve"> </w:t>
      </w:r>
      <w:hyperlink r:id="rId14">
        <w:r>
          <w:rPr>
            <w:rStyle w:val="Hyperlink"/>
          </w:rPr>
          <w:t xml:space="preserve">Gaussian</w:t>
        </w:r>
      </w:hyperlink>
      <w:r>
        <w:t xml:space="preserve"> </w:t>
      </w:r>
      <w:r>
        <w:t xml:space="preserve">models</w:t>
      </w:r>
    </w:p>
    <w:bookmarkEnd w:id="15"/>
    <w:bookmarkStart w:id="24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</w:t>
      </w:r>
      <w:r>
        <w:t xml:space="preserve"> </w:t>
      </w:r>
      <w:hyperlink r:id="rId16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</w:t>
      </w:r>
      <w:r>
        <w:t xml:space="preserve"> </w:t>
      </w:r>
      <w:hyperlink r:id="rId17">
        <w:r>
          <w:rPr>
            <w:rStyle w:val="Hyperlink"/>
          </w:rPr>
          <w:t xml:space="preserve">offset</w:t>
        </w:r>
      </w:hyperlink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3" w:name="fig-model-diagrams"/>
                <w:p>
                  <w:pPr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</w:t>
                    </w:r>
                  </w:hyperlink>
                  <w:r>
                    <w:t xml:space="preserve"> </w:t>
                  </w:r>
                  <w:r>
                    <w:t xml:space="preserve">(Gaussian):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\underset{\xleftarrow[]{=}}{\xrightarrow[]{=}}
    \underbrace{\eta(\mathord{\smash[b]{\underset{\raise.3ex\hbox{$\scriptstyle\sim$}}{x}}\vphantom{x}}) }_{\substack{\text{linear}\\\text{predictor}}}
    = \mathord{\smash[b]{\underset{\raise.3ex\hbox{$\scriptstyle\sim$}}{x}}\vphantom{x}} \cdot \mathord{\smash[b]{\underset{\raise.3ex\hbox{$\scriptstyle\sim$}}{\beta}}\vphantom{\beta}} + \mu(0)
    $$</w:t>
                  </w:r>
                </w:p>
                <w:p>
                  <w:pPr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Logistic</w:t>
                    </w:r>
                  </w:hyperlink>
                  <w:r>
                    <w:t xml:space="preserve"> </w:t>
                  </w:r>
                  <w:r>
                    <w:t xml:space="preserve">(Binomial):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\xleftarrow[\pi \cdot n]{}
    }{
      \xrightarrow{\frac{\mu}{n}}
    }
    \underbrace{\pi}_{\text{probability}}
    \underset{
      \xleftarrow[\frac{\omega}{1+\omega}]{}
    }{
      \xrightarrow{\frac{\pi}{1-\pi}}
    }
    \underbrace{\omega}_{\text{odds}}
    \underset{
      \xleftarrow[{\operatorname{exp}\mathopen{}\left\{\eta\right\}\mathclose{}}]{}
    }{
      \xrightarrow{{\operatorname{log}\mathopen{}\left\{\omega\right\}\mathclose{}}}
    }
    \underbrace{\eta}_{\text{log-odds}} = \mathord{\smash[b]{\underset{\raise.3ex\hbox{$\scriptstyle\sim$}}{x}}\vphantom{x}} \cdot \mathord{\smash[b]{\underset{\raise.3ex\hbox{$\scriptstyle\sim$}}{\beta}}\vphantom{\beta}} + \eta(0)
    $$</w:t>
                  </w:r>
                </w:p>
                <w:p>
                  <w:pPr>
                    <w:jc w:val="center"/>
                  </w:pPr>
                  <w:r>
                    <w:t xml:space="preserve">Count (</w:t>
                  </w:r>
                  <w:hyperlink r:id="rId12">
                    <w:r>
                      <w:rPr>
                        <w:rStyle w:val="Hyperlink"/>
                      </w:rPr>
                      <w:t xml:space="preserve">Poisson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\underset{
      \xleftarrow[{\lambda}\cdot t]{}
    }{
      \xrightarrow{\mu / t}
    }
    \underbrace{{\lambda}}_{\text{rate}}
    \underset{
      \xleftarrow[{\operatorname{exp}\mathopen{}\left\{\eta\right\}\mathclose{}}]{}
    }{
      \xrightarrow{{\operatorname{log}\mathopen{}\left\{{\lambda}\right\}\mathclose{}}}
    }
    \underbrace{\eta}_{\text{log-rate}}
    = \mathord{\smash[b]{\underset{\raise.3ex\hbox{$\scriptstyle\sim$}}{x}}\vphantom{x}} \cdot \mathord{\smash[b]{\underset{\raise.3ex\hbox{$\scriptstyle\sim$}}{\beta}}\vphantom{\beta}} + {\operatorname{log}\mathopen{}\left\{{\lambda}(0)\right\}\mathclose{}}
    $$</w:t>
                  </w:r>
                </w:p>
                <w:p>
                  <w:pPr>
                    <w:jc w:val="center"/>
                  </w:pPr>
                  <w:r>
                    <w:t xml:space="preserve">Survival (</w:t>
                  </w:r>
                  <w:hyperlink r:id="rId21">
                    <w:r>
                      <w:rPr>
                        <w:rStyle w:val="Hyperlink"/>
                      </w:rPr>
                      <w:t xml:space="preserve">Cox PH</w:t>
                    </w:r>
                  </w:hyperlink>
                  <w:r>
                    <w:t xml:space="preserve">):</w:t>
                  </w:r>
                </w:p>
                <w:p>
                  <w:pPr>
                    <w:jc w:val="center"/>
                  </w:pPr>
                  <w:r>
                    <w:t xml:space="preserve">$$\underbrace{\mu}_{\text{mean}}
    \xleftarrow[\int_{t=0}^{\infty}{\operatorname{S}(t|\mathord{\smash[b]{\underset{\raise.3ex\hbox{$\scriptstyle\sim$}}{x}}\vphantom{x}})dt}]{}
    \underbrace{\operatorname{S}(t|\mathord{\smash[b]{\underset{\raise.3ex\hbox{$\scriptstyle\sim$}}{x}}\vphantom{x}})}_{\text{survival}}
    \underset{
      \xleftarrow[{\operatorname{exp}\mathopen{}\left\{-{\Lambda}(t|\mathord{\smash[b]{\underset{\raise.3ex\hbox{$\scriptstyle\sim$}}{x}}\vphantom{x}})\right\}\mathclose{}}]{}
    }{
      \xrightarrow{-{\operatorname{log}\mathopen{}\left\{\operatorname{S}(t|\mathord{\smash[b]{\underset{\raise.3ex\hbox{$\scriptstyle\sim$}}{x}}\vphantom{x}})\right\}\mathclose{}}}
    }
    \underbrace{{\Lambda}(t|\mathord{\smash[b]{\underset{\raise.3ex\hbox{$\scriptstyle\sim$}}{x}}\vphantom{x}})}_{\text{cumulative hazard}}
    \underset{
      \xleftarrow[\int_0^t {\lambda}(u|\mathord{\smash[b]{\underset{\raise.3ex\hbox{$\scriptstyle\sim$}}{x}}\vphantom{x}})\,du]{}
    }{
      \xrightarrow{{\Lambda}'(t|\mathord{\smash[b]{\underset{\raise.3ex\hbox{$\scriptstyle\sim$}}{x}}\vphantom{x}})}
    }
    \underbrace{{\lambda}(t|\mathord{\smash[b]{\underset{\raise.3ex\hbox{$\scriptstyle\sim$}}{x}}\vphantom{x}})}_{\text{hazard}}
    \underset{
      \xleftarrow[{\operatorname{exp}\mathopen{}\left\{\eta(t|\mathord{\smash[b]{\underset{\raise.3ex\hbox{$\scriptstyle\sim$}}{x}}\vphantom{x}})\right\}\mathclose{}}]{}
    }{
      \xrightarrow{{\operatorname{log}\mathopen{}\left\{{\lambda}(t|\mathord{\smash[b]{\underset{\raise.3ex\hbox{$\scriptstyle\sim$}}{x}}\vphantom{x}})\right\}\mathclose{}}}
    }
    \underbrace{\eta(t|\mathord{\smash[b]{\underset{\raise.3ex\hbox{$\scriptstyle\sim$}}{x}}\vphantom{x}})}_{\text{log-hazard}}
    = \mathord{\smash[b]{\underset{\raise.3ex\hbox{$\scriptstyle\sim$}}{x}}\vphantom{x}} \cdot \mathord{\smash[b]{\underset{\raise.3ex\hbox{$\scriptstyle\sim$}}{\beta}}\vphantom{\beta}} + \eta_0(t)
    $$</w:t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Parallel structures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GLMs</w:t>
                    </w:r>
                  </w:hyperlink>
                  <w:r>
                    <w:t xml:space="preserve"> </w:t>
                  </w:r>
                  <w:r>
                    <w:t xml:space="preserve">and survival models.</w:t>
                  </w:r>
                  <w:r>
                    <w:t xml:space="preserve"> </w:t>
                  </w:r>
                  <w:r>
                    <w:t xml:space="preserve">Each row shows the transformation chain from the modeled quantity</w:t>
                  </w:r>
                  <w:r>
                    <w:t xml:space="preserve"> </w:t>
                  </w:r>
                  <w:r>
                    <w:t xml:space="preserve">to the linear predictor</w:t>
                  </w:r>
                  <w:r>
                    <w:t xml:space="preserve"> </w:t>
                  </w:r>
                  <w:r>
                    <w:t xml:space="preserve">$\eta(\mathord{\smash[b]{\underset{\raise.3ex\hbox{$\scriptstyle\sim$}}{x}}\vphantom{x}}) = \mathord{\smash[b]{\underset{\raise.3ex\hbox{$\scriptstyle\sim$}}{x}}\vphantom{x}} \cdot \mathord{\smash[b]{\underset{\raise.3ex\hbox{$\scriptstyle\sim$}}{\beta}}\vphantom{\beta}} + \eta_0$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denotes the model-specific intercept term,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denotes the Cox PH baseline log-hazard term.</w:t>
                  </w:r>
                </w:p>
                <w:bookmarkEnd w:id="23"/>
              </w:tc>
            </w:tr>
          </w:tbl>
        </w:tc>
      </w:tr>
    </w:tbl>
    <w:bookmarkEnd w:id="24"/>
    <w:bookmarkStart w:id="29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likelihood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log-likelihood</w:t>
        </w:r>
      </w:hyperlink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score function</w:t>
        </w:r>
      </w:hyperlink>
    </w:p>
    <w:p>
      <w:pPr>
        <w:pStyle w:val="Compact"/>
        <w:numPr>
          <w:ilvl w:val="0"/>
          <w:numId w:val="1003"/>
        </w:numPr>
      </w:pPr>
      <w:hyperlink r:id="rId28">
        <w:r>
          <w:rPr>
            <w:rStyle w:val="Hyperlink"/>
          </w:rPr>
          <w:t xml:space="preserve">hessian</w:t>
        </w:r>
      </w:hyperlink>
    </w:p>
    <w:bookmarkEnd w:id="29"/>
    <w:bookmarkStart w:id="35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observed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expected information matrix</w:t>
        </w:r>
      </w:hyperlink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standard error</w:t>
        </w:r>
      </w:hyperlink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confidence intervals</w:t>
        </w:r>
      </w:hyperlink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p-values</w:t>
        </w:r>
      </w:hyperlink>
    </w:p>
    <w:bookmarkEnd w:id="35"/>
    <w:bookmarkStart w:id="38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</w:t>
      </w:r>
      <w:hyperlink r:id="rId36">
        <w:r>
          <w:rPr>
            <w:rStyle w:val="Hyperlink"/>
          </w:rPr>
          <w:t xml:space="preserve">AIC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BIC</w:t>
        </w:r>
      </w:hyperlink>
      <w:r>
        <w:t xml:space="preserve">)</w:t>
      </w:r>
    </w:p>
    <w:bookmarkEnd w:id="38"/>
    <w:bookmarkStart w:id="40" w:name="references"/>
    <w:p>
      <w:pPr>
        <w:pStyle w:val="Heading1"/>
      </w:pPr>
      <w:r>
        <w:t xml:space="preserve">References</w:t>
      </w:r>
    </w:p>
    <w:bookmarkStart w:id="39" w:name="refs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Intro-to-GLMs.qmd#def-glm" TargetMode="External" /><Relationship Type="http://schemas.openxmlformats.org/officeDocument/2006/relationships/hyperlink" Id="rId18" Target="Intro-to-GLMs.qmd#def-linear-predictor" TargetMode="External" /><Relationship Type="http://schemas.openxmlformats.org/officeDocument/2006/relationships/hyperlink" Id="rId36" Target="Linear-models-overview.qmd#def-aic" TargetMode="External" /><Relationship Type="http://schemas.openxmlformats.org/officeDocument/2006/relationships/hyperlink" Id="rId37" Target="Linear-models-overview.qmd#def-bic" TargetMode="External" /><Relationship Type="http://schemas.openxmlformats.org/officeDocument/2006/relationships/hyperlink" Id="rId19" Target="Linear-models-overview.qmd#def-lm-general-form" TargetMode="External" /><Relationship Type="http://schemas.openxmlformats.org/officeDocument/2006/relationships/hyperlink" Id="rId16" Target="binary-outcome-associations.qmd#def-logit-fn" TargetMode="External" /><Relationship Type="http://schemas.openxmlformats.org/officeDocument/2006/relationships/hyperlink" Id="rId28" Target="https://morrison-lab.github.io/mds/vector-calculus.html#def-hessian" TargetMode="External" /><Relationship Type="http://schemas.openxmlformats.org/officeDocument/2006/relationships/hyperlink" Id="rId11" Target="https://morrison-lab.github.io/pds/distributions.html#def-event-rate" TargetMode="External" /><Relationship Type="http://schemas.openxmlformats.org/officeDocument/2006/relationships/hyperlink" Id="rId13" Target="https://morrison-lab.github.io/pds/distributions.html#def-nb" TargetMode="External" /><Relationship Type="http://schemas.openxmlformats.org/officeDocument/2006/relationships/hyperlink" Id="rId17" Target="https://morrison-lab.github.io/pds/distributions.html#def-offset" TargetMode="External" /><Relationship Type="http://schemas.openxmlformats.org/officeDocument/2006/relationships/hyperlink" Id="rId12" Target="https://morrison-lab.github.io/pds/distributions.html#def-poisson" TargetMode="External" /><Relationship Type="http://schemas.openxmlformats.org/officeDocument/2006/relationships/hyperlink" Id="rId10" Target="https://morrison-lab.github.io/pds/random-variables.html#def-bernoulli" TargetMode="External" /><Relationship Type="http://schemas.openxmlformats.org/officeDocument/2006/relationships/hyperlink" Id="rId14" Target="https://morrison-lab.github.io/pds/random-variables.html#def-normal" TargetMode="External" /><Relationship Type="http://schemas.openxmlformats.org/officeDocument/2006/relationships/hyperlink" Id="rId32" Target="https://morrison-lab.github.io/sds/estimation.html#def-SE" TargetMode="External" /><Relationship Type="http://schemas.openxmlformats.org/officeDocument/2006/relationships/hyperlink" Id="rId33" Target="https://morrison-lab.github.io/sds/inference.html#def-confidence-interval" TargetMode="External" /><Relationship Type="http://schemas.openxmlformats.org/officeDocument/2006/relationships/hyperlink" Id="rId34" Target="https://morrison-lab.github.io/sds/inference.html#def-p-value" TargetMode="External" /><Relationship Type="http://schemas.openxmlformats.org/officeDocument/2006/relationships/hyperlink" Id="rId31" Target="https://morrison-lab.github.io/sds/intro-MLEs.html#def-einf" TargetMode="External" /><Relationship Type="http://schemas.openxmlformats.org/officeDocument/2006/relationships/hyperlink" Id="rId25" Target="https://morrison-lab.github.io/sds/intro-MLEs.html#def-lik" TargetMode="External" /><Relationship Type="http://schemas.openxmlformats.org/officeDocument/2006/relationships/hyperlink" Id="rId26" Target="https://morrison-lab.github.io/sds/intro-MLEs.html#def-loglik" TargetMode="External" /><Relationship Type="http://schemas.openxmlformats.org/officeDocument/2006/relationships/hyperlink" Id="rId30" Target="https://morrison-lab.github.io/sds/intro-MLEs.html#def-oinf" TargetMode="External" /><Relationship Type="http://schemas.openxmlformats.org/officeDocument/2006/relationships/hyperlink" Id="rId27" Target="https://morrison-lab.github.io/sds/intro-MLEs.html#def-score" TargetMode="External" /><Relationship Type="http://schemas.openxmlformats.org/officeDocument/2006/relationships/hyperlink" Id="rId20" Target="logistic-regression.qmd#def-logistic-regression" TargetMode="External" /><Relationship Type="http://schemas.openxmlformats.org/officeDocument/2006/relationships/hyperlink" Id="rId21" Target="proportional-hazards-models.qmd#def-ph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2026-10-23T18:36:40Z</dcterms:created>
  <dcterms:modified xsi:type="dcterms:W3CDTF">2026-10-23T18:36:40Z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