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  <w:p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  <w:p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  <w:p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  <w:p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  <w:p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  <w:p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  <w:p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radon-shrinkag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fit works with log radon;</w:t>
            </w:r>
            <w:r>
              <w:br/>
            </w:r>
            <w:r>
              <w:rPr>
                <w:rStyle w:val="CommentTok"/>
              </w:rPr>
              <w:t xml:space="preserve"># the y-axis ticks sit at the logs of round radon values, labelled in pCi/L</w:t>
            </w:r>
            <w:r>
              <w:br/>
            </w:r>
            <w:r>
              <w:rPr>
                <w:rStyle w:val="NormalTok"/>
              </w:rPr>
              <w:t xml:space="preserve">radon_ticks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radon_ybar,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yaxt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"Houses sampled in county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"County geometric-mean radon (pCi/L)"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axis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(radon_ticks),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radon_ticks)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(radon_n), radon_pp,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(radon_lmer0),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 pooling"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"Partial pooling"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intro-multilevel-models_files/figure-docx/radon-shrinkage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No-pooling and partial-pooling estimates of the county geometric-mean radon levels</w:t>
            </w:r>
            <w:r>
              <w:t xml:space="preserve"> </w:t>
            </w:r>
            <w:r>
              <w:t xml:space="preserve">(the exponentials of the estimated county means of log radon);</w:t>
            </w:r>
            <w:r>
              <w:t xml:space="preserve"> </w:t>
            </w:r>
            <w:r>
              <w:t xml:space="preserve">the dashed line is the complete-pooling estimate.</w:t>
            </w:r>
            <w:r>
              <w:t xml:space="preserve"> </w:t>
            </w:r>
            <w:r>
              <w:t xml:space="preserve">The model is fit to log radon,</w:t>
            </w:r>
            <w:r>
              <w:t xml:space="preserve"> </w:t>
            </w:r>
            <w:r>
              <w:t xml:space="preserve">so the radon axis is spaced logarithmically.</w:t>
            </w:r>
          </w:p>
          <w:bookmarkEnd w:id="102"/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  <w:p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  <w:p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\operatorname{log}\mathopen{}\left\{\frac{\pi_{ij}}{1 - \pi_{ij}}\right\}\mathclose{} = {\mathord{\smash[b]{\underset{\raise.3ex\hbox{$\scriptstyle\sim$}}{x}}\vphantom{x}}_{ij}}^{\top}\mathord{\smash[b]{\underset{\raise.3ex\hbox{$\scriptstyle\sim$}}{\beta}}\vphantom{\beta}}+ \alpha_j,
    \qquad
    \alpha_j \ \sim_{\operatorname{iid}}\ \operatorname{N}\mathopen{}\left(0, \sigma_\alpha^2\right)\mathclose{}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  <w:p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0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6"/>
        </w:numPr>
      </w:pPr>
      <w:r>
        <w:t xml:space="preserve">Dobson and Barnett [2]</w:t>
      </w:r>
      <w:r>
        <w:t xml:space="preserve"> </w:t>
      </w:r>
      <w:hyperlink r:id="rId148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6"/>
        </w:numPr>
      </w:pPr>
      <w:r>
        <w:t xml:space="preserve">Vittinghoff et al. [8]</w:t>
      </w:r>
      <w:r>
        <w:t xml:space="preserve"> </w:t>
      </w:r>
      <w:hyperlink r:id="rId149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6"/>
        </w:numPr>
      </w:pPr>
      <w:r>
        <w:t xml:space="preserve">Gelman and Hill [6]</w:t>
      </w:r>
    </w:p>
    <w:p>
      <w:pPr>
        <w:pStyle w:val="Compact"/>
        <w:numPr>
          <w:ilvl w:val="1"/>
          <w:numId w:val="1016"/>
        </w:numPr>
      </w:pPr>
      <w:r>
        <w:t xml:space="preserve">Jiang and Nguyen [9]</w:t>
      </w:r>
    </w:p>
    <w:p>
      <w:pPr>
        <w:pStyle w:val="Compact"/>
        <w:numPr>
          <w:ilvl w:val="2"/>
          <w:numId w:val="1017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6"/>
        </w:numPr>
      </w:pPr>
      <w:r>
        <w:t xml:space="preserve">Faraway [10]</w:t>
      </w:r>
    </w:p>
    <w:p>
      <w:pPr>
        <w:pStyle w:val="Compact"/>
        <w:numPr>
          <w:ilvl w:val="1"/>
          <w:numId w:val="1016"/>
        </w:numPr>
      </w:pPr>
      <w:r>
        <w:t xml:space="preserve">McCulloch et al. [11]</w:t>
      </w:r>
    </w:p>
    <w:p>
      <w:pPr>
        <w:pStyle w:val="Compact"/>
        <w:numPr>
          <w:ilvl w:val="1"/>
          <w:numId w:val="1016"/>
        </w:numPr>
      </w:pPr>
      <w:r>
        <w:t xml:space="preserve">Hedeker and Gibbons [12]</w:t>
      </w:r>
    </w:p>
    <w:p>
      <w:pPr>
        <w:pStyle w:val="Compact"/>
        <w:numPr>
          <w:ilvl w:val="1"/>
          <w:numId w:val="1016"/>
        </w:numPr>
      </w:pPr>
      <w:r>
        <w:t xml:space="preserve">Wakefield [13]</w:t>
      </w:r>
    </w:p>
    <w:p>
      <w:pPr>
        <w:pStyle w:val="Compact"/>
        <w:numPr>
          <w:ilvl w:val="1"/>
          <w:numId w:val="1016"/>
        </w:numPr>
      </w:pPr>
      <w:r>
        <w:t xml:space="preserve">Zuur [14]</w:t>
      </w:r>
    </w:p>
    <w:p>
      <w:pPr>
        <w:pStyle w:val="Compact"/>
        <w:numPr>
          <w:ilvl w:val="1"/>
          <w:numId w:val="1016"/>
        </w:numPr>
      </w:pPr>
      <w:r>
        <w:t xml:space="preserve">Diggle et al. [15]</w:t>
      </w:r>
    </w:p>
    <w:p>
      <w:pPr>
        <w:pStyle w:val="Compact"/>
        <w:numPr>
          <w:ilvl w:val="1"/>
          <w:numId w:val="1016"/>
        </w:numPr>
      </w:pPr>
      <w:r>
        <w:t xml:space="preserve">Fitzmaurice et al. [16]</w:t>
      </w:r>
    </w:p>
    <w:p>
      <w:pPr>
        <w:pStyle w:val="Compact"/>
        <w:numPr>
          <w:ilvl w:val="1"/>
          <w:numId w:val="1016"/>
        </w:numPr>
      </w:pPr>
      <w:r>
        <w:t xml:space="preserve">Fitzmaurice et al. [17]</w:t>
      </w:r>
    </w:p>
    <w:p>
      <w:pPr>
        <w:pStyle w:val="Compact"/>
        <w:numPr>
          <w:ilvl w:val="1"/>
          <w:numId w:val="1016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6"/>
        </w:numPr>
      </w:pPr>
      <w:r>
        <w:t xml:space="preserve">Congdon [19]</w:t>
      </w:r>
    </w:p>
    <w:p>
      <w:pPr>
        <w:pStyle w:val="Compact"/>
        <w:numPr>
          <w:ilvl w:val="1"/>
          <w:numId w:val="1016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6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6"/>
        </w:numPr>
      </w:pPr>
      <w:r>
        <w:t xml:space="preserve">Jewell and Hubbard [22]</w:t>
      </w:r>
    </w:p>
    <w:p>
      <w:pPr>
        <w:pStyle w:val="Compact"/>
        <w:numPr>
          <w:ilvl w:val="2"/>
          <w:numId w:val="1018"/>
        </w:numPr>
      </w:pPr>
      <w:r>
        <w:t xml:space="preserve">by UC Berkeley professors</w:t>
      </w:r>
    </w:p>
    <w:bookmarkEnd w:id="150"/>
    <w:bookmarkStart w:id="188" w:name="references"/>
    <w:p>
      <w:pPr>
        <w:pStyle w:val="Heading1"/>
      </w:pPr>
      <w:r>
        <w:t xml:space="preserve">References</w:t>
      </w:r>
    </w:p>
    <w:bookmarkStart w:id="187" w:name="refs"/>
    <w:bookmarkStart w:id="151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1"/>
    <w:bookmarkStart w:id="153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</w:p>
    <w:bookmarkEnd w:id="153"/>
    <w:bookmarkStart w:id="155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4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5"/>
    <w:bookmarkStart w:id="157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56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57"/>
    <w:bookmarkStart w:id="159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58">
        <w:r>
          <w:rPr>
            <w:rStyle w:val="Hyperlink"/>
          </w:rPr>
          <w:t xml:space="preserve">https://github.com/rmcelreath/stat_rethinking_2026</w:t>
        </w:r>
      </w:hyperlink>
    </w:p>
    <w:bookmarkEnd w:id="159"/>
    <w:bookmarkStart w:id="160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0"/>
    <w:bookmarkStart w:id="162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61">
        <w:r>
          <w:rPr>
            <w:rStyle w:val="Hyperlink"/>
          </w:rPr>
          <w:t xml:space="preserve">https://mc-stan.org/rstanarm/</w:t>
        </w:r>
      </w:hyperlink>
    </w:p>
    <w:bookmarkEnd w:id="162"/>
    <w:bookmarkStart w:id="164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</w:p>
    <w:bookmarkEnd w:id="164"/>
    <w:bookmarkStart w:id="166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5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6"/>
    <w:bookmarkStart w:id="168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67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68"/>
    <w:bookmarkStart w:id="169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69"/>
    <w:bookmarkStart w:id="170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0"/>
    <w:bookmarkStart w:id="171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1"/>
    <w:bookmarkStart w:id="172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2"/>
    <w:bookmarkStart w:id="173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3"/>
    <w:bookmarkStart w:id="175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4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5"/>
    <w:bookmarkStart w:id="177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6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77"/>
    <w:bookmarkStart w:id="179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78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79"/>
    <w:bookmarkStart w:id="180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0"/>
    <w:bookmarkStart w:id="182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1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2"/>
    <w:bookmarkStart w:id="184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3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4"/>
    <w:bookmarkStart w:id="186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5">
        <w:r>
          <w:rPr>
            <w:rStyle w:val="Hyperlink"/>
          </w:rPr>
          <w:t xml:space="preserve">https://books.google.com/books?id=-LoLPQAACAAJ</w:t>
        </w:r>
      </w:hyperlink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5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4" Target="https://doi.org/10.1002/9781119513469" TargetMode="External" /><Relationship Type="http://schemas.openxmlformats.org/officeDocument/2006/relationships/hyperlink" Id="rId181" Target="https://doi.org/10.1007/0-387-28980-1" TargetMode="External" /><Relationship Type="http://schemas.openxmlformats.org/officeDocument/2006/relationships/hyperlink" Id="rId156" Target="https://doi.org/10.1007/978-0-387-21706-2" TargetMode="External" /><Relationship Type="http://schemas.openxmlformats.org/officeDocument/2006/relationships/hyperlink" Id="rId165" Target="https://doi.org/10.1007/978-1-0716-1282-8" TargetMode="External" /><Relationship Type="http://schemas.openxmlformats.org/officeDocument/2006/relationships/hyperlink" Id="rId183" Target="https://doi.org/10.1007/978-1-4419-0300-6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78" Target="https://doi.org/10.1007/978-1-4614-3900-4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7" Target="https://doi.org/10.1201/9781315382722" TargetMode="External" /><Relationship Type="http://schemas.openxmlformats.org/officeDocument/2006/relationships/hyperlink" Id="rId176" Target="https://doi.org/10.1201/9781420011579" TargetMode="External" /><Relationship Type="http://schemas.openxmlformats.org/officeDocument/2006/relationships/hyperlink" Id="rId154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58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49" Target="https://link.springer.com/chapter/10.1007/978-1-4614-1353-0_7" TargetMode="External" /><Relationship Type="http://schemas.openxmlformats.org/officeDocument/2006/relationships/hyperlink" Id="rId161" Target="https://mc-stan.org/rstanarm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48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2026-10-18T18:53:27Z</dcterms:created>
  <dcterms:modified xsi:type="dcterms:W3CDTF">2026-10-18T18:53:27Z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