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3.png" ContentType="image/png"/>
  <Override PartName="/word/media/rId47.png" ContentType="image/png"/>
  <Override PartName="/word/media/rId26.png" ContentType="image/png"/>
  <Override PartName="/word/media/rId11.png" ContentType="image/png"/>
  <Override PartName="/word/media/rId19.png" ContentType="image/png"/>
  <Override PartName="/word/media/rId30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Advanced Quarto Article</w:t>
      </w:r>
    </w:p>
    <w:p>
      <w:pPr>
        <w:pStyle w:val="Author"/>
      </w:pPr>
      <w:r>
        <w:t xml:space="preserve">UC Davis Seroepidemiology Research Group (UCD-SERG)</w:t>
      </w:r>
    </w:p>
    <w:p>
      <w:pPr>
        <w:pStyle w:val="Date"/>
      </w:pPr>
      <w:r>
        <w:t xml:space="preserve">2026-10-23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(rpt)</w:t>
      </w:r>
    </w:p>
    <w:bookmarkStart w:id="9" w:name="overview"/>
    <w:p>
      <w:pPr>
        <w:pStyle w:val="Heading2"/>
      </w:pPr>
      <w:r>
        <w:t xml:space="preserve">1 Overview</w:t>
      </w:r>
    </w:p>
    <w:p>
      <w:pPr>
        <w:pStyle w:val="FirstParagraph"/>
      </w:pPr>
      <w:r>
        <w:t xml:space="preserve">This article demonstrates advanced features of Quarto for package documentation. Unlike vignettes, articles are only available on the documentation website and are not included in the package bundle.</w:t>
      </w:r>
    </w:p>
    <w:bookmarkEnd w:id="9"/>
    <w:bookmarkStart w:id="10" w:name="when-to-use-articles-vs-vignettes"/>
    <w:p>
      <w:pPr>
        <w:pStyle w:val="Heading2"/>
      </w:pPr>
      <w:r>
        <w:t xml:space="preserve">2 When to Use Articles vs Vignettes</w:t>
      </w:r>
    </w:p>
    <w:p>
      <w:pPr>
        <w:pStyle w:val="FirstParagraph"/>
      </w:pPr>
      <w:r>
        <w:rPr>
          <w:b/>
          <w:bCs/>
        </w:rPr>
        <w:t xml:space="preserve">Vignettes</w:t>
      </w:r>
      <w:r>
        <w:t xml:space="preserve"> </w:t>
      </w:r>
      <w:r>
        <w:t xml:space="preserve">should be used for:</w:t>
      </w:r>
    </w:p>
    <w:p>
      <w:pPr>
        <w:pStyle w:val="Compact"/>
        <w:numPr>
          <w:ilvl w:val="0"/>
          <w:numId w:val="1001"/>
        </w:numPr>
      </w:pPr>
      <w:r>
        <w:t xml:space="preserve">Core package documentation</w:t>
      </w:r>
    </w:p>
    <w:p>
      <w:pPr>
        <w:pStyle w:val="Compact"/>
        <w:numPr>
          <w:ilvl w:val="0"/>
          <w:numId w:val="1001"/>
        </w:numPr>
      </w:pPr>
      <w:r>
        <w:t xml:space="preserve">Essential usage examples</w:t>
      </w:r>
    </w:p>
    <w:p>
      <w:pPr>
        <w:pStyle w:val="Compact"/>
        <w:numPr>
          <w:ilvl w:val="0"/>
          <w:numId w:val="1001"/>
        </w:numPr>
      </w:pPr>
      <w:r>
        <w:t xml:space="preserve">Content that users need offline</w:t>
      </w:r>
    </w:p>
    <w:p>
      <w:pPr>
        <w:pStyle w:val="FirstParagraph"/>
      </w:pPr>
      <w:r>
        <w:rPr>
          <w:b/>
          <w:bCs/>
        </w:rPr>
        <w:t xml:space="preserve">Articles</w:t>
      </w:r>
      <w:r>
        <w:t xml:space="preserve"> </w:t>
      </w:r>
      <w:r>
        <w:t xml:space="preserve">are better for:</w:t>
      </w:r>
    </w:p>
    <w:p>
      <w:pPr>
        <w:pStyle w:val="Compact"/>
        <w:numPr>
          <w:ilvl w:val="0"/>
          <w:numId w:val="1002"/>
        </w:numPr>
      </w:pPr>
      <w:r>
        <w:t xml:space="preserve">Extended tutorials</w:t>
      </w:r>
    </w:p>
    <w:p>
      <w:pPr>
        <w:pStyle w:val="Compact"/>
        <w:numPr>
          <w:ilvl w:val="0"/>
          <w:numId w:val="1002"/>
        </w:numPr>
      </w:pPr>
      <w:r>
        <w:t xml:space="preserve">Case studies and detailed examples</w:t>
      </w:r>
    </w:p>
    <w:p>
      <w:pPr>
        <w:pStyle w:val="Compact"/>
        <w:numPr>
          <w:ilvl w:val="0"/>
          <w:numId w:val="1002"/>
        </w:numPr>
      </w:pPr>
      <w:r>
        <w:t xml:space="preserve">Content with large datasets or external dependencies</w:t>
      </w:r>
    </w:p>
    <w:p>
      <w:pPr>
        <w:pStyle w:val="Compact"/>
        <w:numPr>
          <w:ilvl w:val="0"/>
          <w:numId w:val="1002"/>
        </w:numPr>
      </w:pPr>
      <w:r>
        <w:t xml:space="preserve">Supplementary material</w:t>
      </w:r>
    </w:p>
    <w:bookmarkEnd w:id="10"/>
    <w:bookmarkStart w:id="34" w:name="advanced-quarto-features"/>
    <w:p>
      <w:pPr>
        <w:pStyle w:val="Heading2"/>
      </w:pPr>
      <w:r>
        <w:t xml:space="preserve">3 Advanced Quarto Features</w:t>
      </w:r>
    </w:p>
    <w:bookmarkStart w:id="15" w:name="cross-references"/>
    <w:p>
      <w:pPr>
        <w:pStyle w:val="Heading3"/>
      </w:pPr>
      <w:r>
        <w:t xml:space="preserve">3.1 Cross-References</w:t>
      </w:r>
    </w:p>
    <w:p>
      <w:pPr>
        <w:pStyle w:val="FirstParagraph"/>
      </w:pPr>
      <w:r>
        <w:t xml:space="preserve">Quarto makes it easy to create cross-references. For example, see</w:t>
      </w:r>
      <w:r>
        <w:t xml:space="preserve"> </w:t>
      </w:r>
      <w:hyperlink w:anchor="fig-scatter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for a scatter plot and</w:t>
      </w:r>
      <w:r>
        <w:t xml:space="preserve"> </w:t>
      </w:r>
      <w:hyperlink w:anchor="tbl-summary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for a summary table.</w:t>
      </w:r>
    </w:p>
    <w:p>
      <w:pPr>
        <w:pStyle w:val="SourceCode"/>
      </w:pPr>
      <w:r>
        <w:rPr>
          <w:rStyle w:val="CommentTok"/>
        </w:rPr>
        <w:t xml:space="preserve"># Generate sample data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123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Create scatter plot</w:t>
      </w:r>
      <w:r>
        <w:br/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(x, y, </w:t>
      </w:r>
      <w:r>
        <w:br/>
      </w:r>
      <w:r>
        <w:rPr>
          <w:rStyle w:val="NormalTok"/>
        </w:rPr>
        <w:t xml:space="preserve">     </w:t>
      </w:r>
      <w:r>
        <w:rPr>
          <w:rStyle w:val="AttributeTok"/>
        </w:rPr>
        <w:t xml:space="preserve">main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"Example Scatter Plot"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</w:t>
      </w:r>
      <w:r>
        <w:rPr>
          <w:rStyle w:val="AttributeTok"/>
        </w:rPr>
        <w:t xml:space="preserve">xlab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"X Variable"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</w:t>
      </w:r>
      <w:r>
        <w:rPr>
          <w:rStyle w:val="AttributeTok"/>
        </w:rPr>
        <w:t xml:space="preserve">ylab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"Y Variable"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</w:t>
      </w:r>
      <w:r>
        <w:rPr>
          <w:rStyle w:val="AttributeTok"/>
        </w:rPr>
        <w:t xml:space="preserve">pch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16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rgb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0.4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0.6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0.6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abline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x), 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"red"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lwd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4" w:name="fig-scatter"/>
          <w:p>
            <w:pPr>
              <w:pStyle w:val="Compact"/>
              <w:jc w:val="center"/>
            </w:pPr>
            <w:r>
              <w:drawing>
                <wp:inline>
                  <wp:extent cx="5334000" cy="3809999"/>
                  <wp:effectExtent b="0" l="0" r="0" t="0"/>
                  <wp:docPr descr="" title="" id="12" name="Picture"/>
                  <a:graphic>
                    <a:graphicData uri="http://schemas.openxmlformats.org/drawingml/2006/picture">
                      <pic:pic>
                        <pic:nvPicPr>
                          <pic:cNvPr descr="quarto_article_files/figure-docx/fig-scatter-1.png" id="1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3809999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Scatter plot demonstrating cross-referencing</w:t>
            </w:r>
          </w:p>
          <w:bookmarkEnd w:id="14"/>
        </w:tc>
      </w:tr>
    </w:tbl>
    <w:bookmarkEnd w:id="15"/>
    <w:bookmarkStart w:id="17" w:name="summary-tables"/>
    <w:p>
      <w:pPr>
        <w:pStyle w:val="Heading3"/>
      </w:pPr>
      <w:r>
        <w:t xml:space="preserve">3.2 Summary Tables</w:t>
      </w:r>
    </w:p>
    <w:p>
      <w:pPr>
        <w:pStyle w:val="SourceCode"/>
      </w:pPr>
      <w:r>
        <w:rPr>
          <w:rStyle w:val="NormalTok"/>
        </w:rPr>
        <w:t xml:space="preserve">data_summary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Statistic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"Mean"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"Median"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"SD"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"Min"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"Max"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(x), </w:t>
      </w:r>
      <w:r>
        <w:rPr>
          <w:rStyle w:val="FunctionTok"/>
        </w:rPr>
        <w:t xml:space="preserve">median</w:t>
      </w:r>
      <w:r>
        <w:rPr>
          <w:rStyle w:val="NormalTok"/>
        </w:rPr>
        <w:t xml:space="preserve">(x),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(x), </w:t>
      </w:r>
      <w:r>
        <w:rPr>
          <w:rStyle w:val="FunctionTok"/>
        </w:rPr>
        <w:t xml:space="preserve">min</w:t>
      </w:r>
      <w:r>
        <w:rPr>
          <w:rStyle w:val="NormalTok"/>
        </w:rPr>
        <w:t xml:space="preserve">(x),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(x)),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(y), </w:t>
      </w:r>
      <w:r>
        <w:rPr>
          <w:rStyle w:val="FunctionTok"/>
        </w:rPr>
        <w:t xml:space="preserve">median</w:t>
      </w:r>
      <w:r>
        <w:rPr>
          <w:rStyle w:val="NormalTok"/>
        </w:rPr>
        <w:t xml:space="preserve">(y),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(y), </w:t>
      </w:r>
      <w:r>
        <w:rPr>
          <w:rStyle w:val="FunctionTok"/>
        </w:rPr>
        <w:t xml:space="preserve">min</w:t>
      </w:r>
      <w:r>
        <w:rPr>
          <w:rStyle w:val="NormalTok"/>
        </w:rPr>
        <w:t xml:space="preserve">(y),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(y))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(data_summary, 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6" w:name="tbl-summary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Summary statistics for example data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2640"/>
              <w:gridCol w:w="2640"/>
              <w:gridCol w:w="264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Statistic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X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Mean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0.090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0.127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Median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0.062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0.137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SD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0.913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1.865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Min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-2.309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-4.586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Max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2.187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4.675</w:t>
                  </w:r>
                </w:p>
              </w:tc>
            </w:tr>
          </w:tbl>
          <w:bookmarkEnd w:id="16"/>
          <w:p/>
        </w:tc>
      </w:tr>
    </w:tbl>
    <w:p>
      <w:pPr>
        <w:pStyle w:val="BodyText"/>
      </w:pPr>
      <w:r>
        <w:t xml:space="preserve">As shown in</w:t>
      </w:r>
      <w:r>
        <w:t xml:space="preserve"> </w:t>
      </w:r>
      <w:hyperlink w:anchor="tbl-summary">
        <w:r>
          <w:rPr>
            <w:rStyle w:val="Hyperlink"/>
          </w:rPr>
          <w:t xml:space="preserve">Table 1</w:t>
        </w:r>
      </w:hyperlink>
      <w:r>
        <w:t xml:space="preserve">, the variables have similar distributions.</w:t>
      </w:r>
    </w:p>
    <w:bookmarkEnd w:id="17"/>
    <w:bookmarkStart w:id="18" w:name="code-folding"/>
    <w:p>
      <w:pPr>
        <w:pStyle w:val="Heading3"/>
      </w:pPr>
      <w:r>
        <w:t xml:space="preserve">3.3 Code Folding</w:t>
      </w:r>
    </w:p>
    <w:p>
      <w:pPr>
        <w:pStyle w:val="FirstParagraph"/>
      </w:pPr>
      <w:r>
        <w:t xml:space="preserve">You can make code chunks foldable:</w:t>
      </w:r>
    </w:p>
    <w:p>
      <w:pPr>
        <w:pStyle w:val="SourceCode"/>
      </w:pPr>
      <w:r>
        <w:rPr>
          <w:rStyle w:val="CommentTok"/>
        </w:rPr>
        <w:t xml:space="preserve"># Prepare more complex data</w:t>
      </w:r>
      <w:r>
        <w:br/>
      </w:r>
      <w:r>
        <w:rPr>
          <w:rStyle w:val="NormalTok"/>
        </w:rPr>
        <w:t xml:space="preserve">complex_data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id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group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"B"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each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25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value1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15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value2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Calculate group statistics</w:t>
      </w:r>
      <w:r>
        <w:br/>
      </w:r>
      <w:r>
        <w:rPr>
          <w:rStyle w:val="NormalTok"/>
        </w:rPr>
        <w:t xml:space="preserve">group_stats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aggregate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cbind</w:t>
      </w:r>
      <w:r>
        <w:rPr>
          <w:rStyle w:val="NormalTok"/>
        </w:rPr>
        <w:t xml:space="preserve">(value1, value2)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group, 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complex_data, 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(x))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(group_stats)</w:t>
      </w:r>
      <w:r>
        <w:br/>
      </w:r>
      <w:r>
        <w:rPr>
          <w:rStyle w:val="CommentTok"/>
        </w:rPr>
        <w:t xml:space="preserve">#&gt;   group value1.mean value1.sd value2.mean value2.sd</w:t>
      </w:r>
      <w:r>
        <w:br/>
      </w:r>
      <w:r>
        <w:rPr>
          <w:rStyle w:val="CommentTok"/>
        </w:rPr>
        <w:t xml:space="preserve">#&gt; 1     A   101.61247  14.63952   51.727220 10.047051</w:t>
      </w:r>
      <w:r>
        <w:br/>
      </w:r>
      <w:r>
        <w:rPr>
          <w:rStyle w:val="CommentTok"/>
        </w:rPr>
        <w:t xml:space="preserve">#&gt; 2     B    98.13191  13.84514   53.261796  8.934998</w:t>
      </w:r>
    </w:p>
    <w:bookmarkEnd w:id="18"/>
    <w:bookmarkStart w:id="22" w:name="tabsets"/>
    <w:p>
      <w:pPr>
        <w:pStyle w:val="Heading3"/>
      </w:pPr>
      <w:r>
        <w:t xml:space="preserve">3.4 Tabsets</w:t>
      </w:r>
    </w:p>
    <w:p>
      <w:pPr>
        <w:pStyle w:val="Heading4"/>
      </w:pPr>
      <w:r>
        <w:t xml:space="preserve">Plot View</w:t>
      </w:r>
    </w:p>
    <w:p>
      <w:pPr>
        <w:pStyle w:val="FirstParagraph"/>
      </w:pPr>
      <w:r>
        <w:drawing>
          <wp:inline>
            <wp:extent cx="5334000" cy="3809999"/>
            <wp:effectExtent b="0" l="0" r="0" t="0"/>
            <wp:docPr descr="" title="" id="20" name="Picture"/>
            <a:graphic>
              <a:graphicData uri="http://schemas.openxmlformats.org/drawingml/2006/picture">
                <pic:pic>
                  <pic:nvPicPr>
                    <pic:cNvPr descr="quarto_article_files/figure-docx/unnamed-chunk-3-1.png" id="21" name="Picture"/>
                    <pic:cNvPicPr>
                      <a:picLocks noChangeArrowheads="1" noChangeAspect="1"/>
                    </pic:cNvPicPr>
                  </pic:nvPicPr>
                  <pic:blipFill>
                    <a:blip r:embed="rId1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80999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Heading4"/>
      </w:pPr>
      <w:r>
        <w:t xml:space="preserve">Summary View</w:t>
      </w:r>
    </w:p>
    <w:p>
      <w:pPr>
        <w:pStyle w:val="SourceCode"/>
      </w:pPr>
      <w:r>
        <w:rPr>
          <w:rStyle w:val="VerbatimChar"/>
        </w:rPr>
        <w:t xml:space="preserve">#&gt;        id              group        value1           value2     </w:t>
      </w:r>
      <w:r>
        <w:br/>
      </w:r>
      <w:r>
        <w:rPr>
          <w:rStyle w:val="VerbatimChar"/>
        </w:rPr>
        <w:t xml:space="preserve">#&gt;  Min.   : 1.00   Length   :50   Min.   : 79.60   Min.   :32.43  </w:t>
      </w:r>
      <w:r>
        <w:br/>
      </w:r>
      <w:r>
        <w:rPr>
          <w:rStyle w:val="VerbatimChar"/>
        </w:rPr>
        <w:t xml:space="preserve">#&gt;  1st Qu.:13.25   N.unique : 2   1st Qu.: 89.29   1st Qu.:46.76  </w:t>
      </w:r>
      <w:r>
        <w:br/>
      </w:r>
      <w:r>
        <w:rPr>
          <w:rStyle w:val="VerbatimChar"/>
        </w:rPr>
        <w:t xml:space="preserve">#&gt;  Median :25.50   N.blank  : 0   Median : 96.64   Median :51.04  </w:t>
      </w:r>
      <w:r>
        <w:br/>
      </w:r>
      <w:r>
        <w:rPr>
          <w:rStyle w:val="VerbatimChar"/>
        </w:rPr>
        <w:t xml:space="preserve">#&gt;  Mean   :25.50   Min.nchar: 1   Mean   : 99.87   Mean   :52.49  </w:t>
      </w:r>
      <w:r>
        <w:br/>
      </w:r>
      <w:r>
        <w:rPr>
          <w:rStyle w:val="VerbatimChar"/>
        </w:rPr>
        <w:t xml:space="preserve">#&gt;  3rd Qu.:37.75   Max.nchar: 1   3rd Qu.:107.93   3rd Qu.:59.34  </w:t>
      </w:r>
      <w:r>
        <w:br/>
      </w:r>
      <w:r>
        <w:rPr>
          <w:rStyle w:val="VerbatimChar"/>
        </w:rPr>
        <w:t xml:space="preserve">#&gt;  Max.   :50.00                  Max.   :132.98   Max.   :72.93</w:t>
      </w:r>
    </w:p>
    <w:p>
      <w:pPr>
        <w:pStyle w:val="Heading4"/>
      </w:pPr>
      <w:r>
        <w:t xml:space="preserve">Raw Data</w:t>
      </w:r>
    </w:p>
    <w:p>
      <w:pPr>
        <w:pStyle w:val="SourceCode"/>
      </w:pPr>
      <w:r>
        <w:rPr>
          <w:rStyle w:val="VerbatimChar"/>
        </w:rPr>
        <w:t xml:space="preserve">#&gt;    id group    value1   value2</w:t>
      </w:r>
      <w:r>
        <w:br/>
      </w:r>
      <w:r>
        <w:rPr>
          <w:rStyle w:val="VerbatimChar"/>
        </w:rPr>
        <w:t xml:space="preserve">#&gt; 1   1     A 132.98216 46.24397</w:t>
      </w:r>
      <w:r>
        <w:br/>
      </w:r>
      <w:r>
        <w:rPr>
          <w:rStyle w:val="VerbatimChar"/>
        </w:rPr>
        <w:t xml:space="preserve">#&gt; 2   2     A 119.68619 44.38124</w:t>
      </w:r>
      <w:r>
        <w:br/>
      </w:r>
      <w:r>
        <w:rPr>
          <w:rStyle w:val="VerbatimChar"/>
        </w:rPr>
        <w:t xml:space="preserve">#&gt; 3   3     A  96.02282 46.56083</w:t>
      </w:r>
      <w:r>
        <w:br/>
      </w:r>
      <w:r>
        <w:rPr>
          <w:rStyle w:val="VerbatimChar"/>
        </w:rPr>
        <w:t xml:space="preserve">#&gt; 4   4     A 108.14791 50.90497</w:t>
      </w:r>
      <w:r>
        <w:br/>
      </w:r>
      <w:r>
        <w:rPr>
          <w:rStyle w:val="VerbatimChar"/>
        </w:rPr>
        <w:t xml:space="preserve">#&gt; 5   5     A  93.78490 65.98509</w:t>
      </w:r>
      <w:r>
        <w:br/>
      </w:r>
      <w:r>
        <w:rPr>
          <w:rStyle w:val="VerbatimChar"/>
        </w:rPr>
        <w:t xml:space="preserve">#&gt; 6   6     A  92.85630 49.11435</w:t>
      </w:r>
      <w:r>
        <w:br/>
      </w:r>
      <w:r>
        <w:rPr>
          <w:rStyle w:val="VerbatimChar"/>
        </w:rPr>
        <w:t xml:space="preserve">#&gt; 7   7     A  88.17096 60.80799</w:t>
      </w:r>
      <w:r>
        <w:br/>
      </w:r>
      <w:r>
        <w:rPr>
          <w:rStyle w:val="VerbatimChar"/>
        </w:rPr>
        <w:t xml:space="preserve">#&gt; 8   8     A  91.08074 56.30754</w:t>
      </w:r>
      <w:r>
        <w:br/>
      </w:r>
      <w:r>
        <w:rPr>
          <w:rStyle w:val="VerbatimChar"/>
        </w:rPr>
        <w:t xml:space="preserve">#&gt; 9   9     A 124.76361 48.86360</w:t>
      </w:r>
      <w:r>
        <w:br/>
      </w:r>
      <w:r>
        <w:rPr>
          <w:rStyle w:val="VerbatimChar"/>
        </w:rPr>
        <w:t xml:space="preserve">#&gt; 10 10     A  99.18958 34.67098</w:t>
      </w:r>
    </w:p>
    <w:bookmarkEnd w:id="22"/>
    <w:bookmarkStart w:id="29" w:name="advanced-callouts"/>
    <w:p>
      <w:pPr>
        <w:pStyle w:val="Heading3"/>
      </w:pPr>
      <w:r>
        <w:t xml:space="preserve">3.5 Advanced Callouts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important.png" id="2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Important Considerations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When using this package in production: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t xml:space="preserve">Always validate input data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t xml:space="preserve">Check for missing values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t xml:space="preserve">Consider computational complexity</w:t>
            </w:r>
          </w:p>
          <w:p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2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Performance Warning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Large datasets may require additional memory and processing time.</w:t>
            </w:r>
          </w:p>
          <w:p/>
        </w:tc>
      </w:tr>
    </w:tbl>
    <w:bookmarkEnd w:id="29"/>
    <w:bookmarkStart w:id="33" w:name="columns-layout"/>
    <w:p>
      <w:pPr>
        <w:pStyle w:val="Heading3"/>
      </w:pPr>
      <w:r>
        <w:t xml:space="preserve">3.6 Columns Layout</w:t>
      </w:r>
    </w:p>
    <w:p>
      <w:pPr>
        <w:pStyle w:val="FirstParagraph"/>
      </w:pPr>
      <w:r>
        <w:rPr>
          <w:b/>
          <w:bCs/>
        </w:rPr>
        <w:t xml:space="preserve">Left Column</w:t>
      </w:r>
    </w:p>
    <w:p>
      <w:pPr>
        <w:pStyle w:val="BodyText"/>
      </w:pPr>
      <w:r>
        <w:t xml:space="preserve">This demonstrates a two-column layout in Quarto.</w:t>
      </w:r>
    </w:p>
    <w:p>
      <w:pPr>
        <w:pStyle w:val="Compact"/>
        <w:numPr>
          <w:ilvl w:val="0"/>
          <w:numId w:val="1004"/>
        </w:numPr>
      </w:pPr>
      <w:r>
        <w:t xml:space="preserve">Feature 1</w:t>
      </w:r>
    </w:p>
    <w:p>
      <w:pPr>
        <w:pStyle w:val="Compact"/>
        <w:numPr>
          <w:ilvl w:val="0"/>
          <w:numId w:val="1004"/>
        </w:numPr>
      </w:pPr>
      <w:r>
        <w:t xml:space="preserve">Feature 2</w:t>
      </w:r>
    </w:p>
    <w:p>
      <w:pPr>
        <w:pStyle w:val="Compact"/>
        <w:numPr>
          <w:ilvl w:val="0"/>
          <w:numId w:val="1004"/>
        </w:numPr>
      </w:pPr>
      <w:r>
        <w:t xml:space="preserve">Feature 3</w:t>
      </w:r>
    </w:p>
    <w:p>
      <w:pPr>
        <w:pStyle w:val="FirstParagraph"/>
      </w:pPr>
      <w:r>
        <w:rPr>
          <w:b/>
          <w:bCs/>
        </w:rPr>
        <w:t xml:space="preserve">Right Column</w:t>
      </w:r>
    </w:p>
    <w:p>
      <w:pPr>
        <w:pStyle w:val="BodyText"/>
      </w:pPr>
      <w:r>
        <w:t xml:space="preserve">You can place different content in each column.</w:t>
      </w:r>
    </w:p>
    <w:p>
      <w:pPr>
        <w:pStyle w:val="BodyText"/>
      </w:pPr>
      <w:r>
        <w:drawing>
          <wp:inline>
            <wp:extent cx="5334000" cy="3809999"/>
            <wp:effectExtent b="0" l="0" r="0" t="0"/>
            <wp:docPr descr="" title="" id="31" name="Picture"/>
            <a:graphic>
              <a:graphicData uri="http://schemas.openxmlformats.org/drawingml/2006/picture">
                <pic:pic>
                  <pic:nvPicPr>
                    <pic:cNvPr descr="quarto_article_files/figure-docx/unnamed-chunk-6-1.png" id="32" name="Picture"/>
                    <pic:cNvPicPr>
                      <a:picLocks noChangeArrowheads="1" noChangeAspect="1"/>
                    </pic:cNvPicPr>
                  </pic:nvPicPr>
                  <pic:blipFill>
                    <a:blip r:embed="rId3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80999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33"/>
    <w:bookmarkEnd w:id="34"/>
    <w:bookmarkStart w:id="35" w:name="working-with-package-functions"/>
    <w:p>
      <w:pPr>
        <w:pStyle w:val="Heading2"/>
      </w:pPr>
      <w:r>
        <w:t xml:space="preserve">4 Working with Package Functions</w:t>
      </w:r>
    </w:p>
    <w:p>
      <w:pPr>
        <w:pStyle w:val="FirstParagraph"/>
      </w:pPr>
      <w:r>
        <w:t xml:space="preserve">Here’s how to use the package’s example function with different inputs:</w:t>
      </w:r>
    </w:p>
    <w:p>
      <w:pPr>
        <w:pStyle w:val="SourceCode"/>
      </w:pPr>
      <w:r>
        <w:rPr>
          <w:rStyle w:val="CommentTok"/>
        </w:rPr>
        <w:t xml:space="preserve"># Numeric vector</w:t>
      </w:r>
      <w:r>
        <w:br/>
      </w:r>
      <w:r>
        <w:rPr>
          <w:rStyle w:val="FunctionTok"/>
        </w:rPr>
        <w:t xml:space="preserve">example_function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25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#&gt; [1] 15</w:t>
      </w:r>
      <w:r>
        <w:br/>
      </w:r>
      <w:r>
        <w:br/>
      </w:r>
      <w:r>
        <w:rPr>
          <w:rStyle w:val="CommentTok"/>
        </w:rPr>
        <w:t xml:space="preserve"># Using with generated data</w:t>
      </w:r>
      <w:r>
        <w:br/>
      </w:r>
      <w:r>
        <w:rPr>
          <w:rStyle w:val="NormalTok"/>
        </w:rPr>
        <w:t xml:space="preserve">random_data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runif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min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max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example_function</w:t>
      </w:r>
      <w:r>
        <w:rPr>
          <w:rStyle w:val="NormalTok"/>
        </w:rPr>
        <w:t xml:space="preserve">(random_data)</w:t>
      </w:r>
      <w:r>
        <w:br/>
      </w:r>
      <w:r>
        <w:rPr>
          <w:rStyle w:val="CommentTok"/>
        </w:rPr>
        <w:t xml:space="preserve">#&gt; [1] 47.43</w:t>
      </w:r>
    </w:p>
    <w:bookmarkEnd w:id="35"/>
    <w:bookmarkStart w:id="45" w:name="theorem-environments"/>
    <w:p>
      <w:pPr>
        <w:pStyle w:val="Heading2"/>
      </w:pPr>
      <w:r>
        <w:t xml:space="preserve">5 Theorem Environments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callouty-theorem</w:t>
      </w:r>
      <w:r>
        <w:t xml:space="preserve"> </w:t>
      </w:r>
      <w:r>
        <w:t xml:space="preserve">extension renders Quarto theorem and proof environments as styled callout blocks. This makes theorems, definitions, examples, and proofs visually distinct and easier to navigate.</w:t>
      </w:r>
    </w:p>
    <w:bookmarkStart w:id="38" w:name="definitions-and-theorems"/>
    <w:p>
      <w:pPr>
        <w:pStyle w:val="Heading3"/>
      </w:pPr>
      <w:r>
        <w:t xml:space="preserve">5.1 Definitions and Theorems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36" w:name="def-se"/>
          <w:p>
            <w:pPr>
              <w:pStyle w:val="BodyText"/>
            </w:pPr>
            <w:r>
              <w:rPr>
                <w:b/>
                <w:bCs/>
              </w:rPr>
              <w:t xml:space="preserve">Definition 1 (Standard Error)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standard error</w:t>
            </w:r>
            <w:r>
              <w:t xml:space="preserve"> </w:t>
            </w:r>
            <w:r>
              <w:t xml:space="preserve">of the mean for a sample of size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 </w:t>
            </w:r>
            <w:r>
              <w:t xml:space="preserve">with standard deviation</w:t>
            </w:r>
            <w:r>
              <w:t xml:space="preserve"> </w:t>
            </w:r>
            <m:oMath>
              <m:r>
                <m:t>s</m:t>
              </m:r>
            </m:oMath>
            <w:r>
              <w:t xml:space="preserve"> </w:t>
            </w:r>
            <w:r>
              <w:t xml:space="preserve">is: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S</m:t>
                </m:r>
                <m:r>
                  <m:t>E</m:t>
                </m:r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s</m:t>
                    </m:r>
                  </m:num>
                  <m:den>
                    <m:rad>
                      <m:radPr>
                        <m:degHide m:val="on"/>
                      </m:radPr>
                      <m:deg/>
                      <m:e>
                        <m:r>
                          <m:t>n</m:t>
                        </m:r>
                      </m:e>
                    </m:rad>
                  </m:den>
                </m:f>
              </m:oMath>
            </m:oMathPara>
          </w:p>
          <w:bookmarkEnd w:id="36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37" w:name="thm-clt"/>
          <w:p>
            <w:pPr>
              <w:pStyle w:val="BodyText"/>
            </w:pPr>
            <w:r>
              <w:rPr>
                <w:b/>
                <w:bCs/>
              </w:rPr>
              <w:t xml:space="preserve">Theorem 1 (Central Limit Theorem)</w:t>
            </w:r>
            <w:r>
              <w:t xml:space="preserve"> </w:t>
            </w:r>
            <w:r>
              <w:t xml:space="preserve">Let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</m:oMath>
            <w:r>
              <w:t xml:space="preserve"> </w:t>
            </w:r>
            <w:r>
              <w:t xml:space="preserve">be independent and identically distributed random variables with mean</w:t>
            </w:r>
            <w:r>
              <w:t xml:space="preserve"> </w:t>
            </w:r>
            <m:oMath>
              <m:r>
                <m:t>μ</m:t>
              </m:r>
            </m:oMath>
            <w:r>
              <w:t xml:space="preserve"> </w:t>
            </w:r>
            <w:r>
              <w:t xml:space="preserve">and finite variance</w:t>
            </w:r>
            <w:r>
              <w:t xml:space="preserve"> </w:t>
            </w:r>
            <m:oMath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. Then as</w:t>
            </w:r>
            <w: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f>
                  <m:fPr>
                    <m:type m:val="bar"/>
                  </m:fPr>
                  <m:num>
                    <m:acc>
                      <m:accPr>
                        <m:chr m:val="‾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−</m:t>
                    </m:r>
                    <m:r>
                      <m:t>μ</m:t>
                    </m:r>
                  </m:num>
                  <m:den>
                    <m:r>
                      <m:t>σ</m:t>
                    </m:r>
                    <m:r>
                      <m:rPr>
                        <m:sty m:val="p"/>
                      </m:rPr>
                      <m:t>/</m:t>
                    </m:r>
                    <m:rad>
                      <m:radPr>
                        <m:degHide m:val="on"/>
                      </m:radPr>
                      <m:deg/>
                      <m:e>
                        <m:r>
                          <m:t>n</m:t>
                        </m:r>
                      </m:e>
                    </m:rad>
                  </m:den>
                </m:f>
                <m:limUpp>
                  <m:e>
                    <m:r>
                      <m:rPr>
                        <m:sty m:val="p"/>
                      </m:rPr>
                      <m:t>→</m:t>
                    </m:r>
                  </m:e>
                  <m:lim>
                    <m:r>
                      <m:t>d</m:t>
                    </m:r>
                  </m:lim>
                </m:limUpp>
                <m:r>
                  <m:t>N</m:t>
                </m:r>
                <m:r>
                  <m:rPr>
                    <m:sty m:val="p"/>
                  </m:rPr>
                  <m:t>(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t>1</m:t>
                </m:r>
                <m:r>
                  <m:rPr>
                    <m:sty m:val="p"/>
                  </m:rPr>
                  <m:t>)</m:t>
                </m:r>
              </m:oMath>
            </m:oMathPara>
          </w:p>
          <w:bookmarkEnd w:id="37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See any standard probability textbook.</w:t>
            </w:r>
          </w:p>
          <w:p/>
        </w:tc>
      </w:tr>
    </w:tbl>
    <w:bookmarkEnd w:id="38"/>
    <w:bookmarkStart w:id="41" w:name="lemmas-and-corollaries"/>
    <w:p>
      <w:pPr>
        <w:pStyle w:val="Heading3"/>
      </w:pPr>
      <w:r>
        <w:t xml:space="preserve">5.2 Lemmas and Corollaries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39" w:name="lem-var-sum"/>
          <w:p>
            <w:pPr>
              <w:pStyle w:val="BodyText"/>
            </w:pPr>
            <w:r>
              <w:rPr>
                <w:b/>
                <w:bCs/>
              </w:rPr>
              <w:t xml:space="preserve">Lemma 1 (Variance of a Sum)</w:t>
            </w:r>
            <w:r>
              <w:t xml:space="preserve"> </w:t>
            </w:r>
            <w:r>
              <w:t xml:space="preserve">For independent random variables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nor/>
                    <m:sty m:val="p"/>
                  </m:rPr>
                  <m:t>Var</m:t>
                </m:r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+</m:t>
                </m:r>
                <m:r>
                  <m:t>Y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rPr>
                    <m:nor/>
                    <m:sty m:val="p"/>
                  </m:rPr>
                  <m:t>Var</m:t>
                </m:r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+</m:t>
                </m:r>
                <m:r>
                  <m:rPr>
                    <m:nor/>
                    <m:sty m:val="p"/>
                  </m:rPr>
                  <m:t>Var</m:t>
                </m:r>
                <m:r>
                  <m:rPr>
                    <m:sty m:val="p"/>
                  </m:rPr>
                  <m:t>(</m:t>
                </m:r>
                <m:r>
                  <m:t>Y</m:t>
                </m:r>
                <m:r>
                  <m:rPr>
                    <m:sty m:val="p"/>
                  </m:rPr>
                  <m:t>)</m:t>
                </m:r>
              </m:oMath>
            </m:oMathPara>
          </w:p>
          <w:bookmarkEnd w:id="39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40" w:name="cor-se-clt"/>
          <w:p>
            <w:pPr>
              <w:pStyle w:val="BodyText"/>
            </w:pPr>
            <w:r>
              <w:rPr>
                <w:b/>
                <w:bCs/>
              </w:rPr>
              <w:t xml:space="preserve">Corollary 1 (Confidence Interval from CLT)</w:t>
            </w:r>
            <w:r>
              <w:t xml:space="preserve"> </w:t>
            </w:r>
            <w:r>
              <w:t xml:space="preserve">By</w:t>
            </w:r>
            <w:r>
              <w:t xml:space="preserve"> </w:t>
            </w:r>
            <w:hyperlink w:anchor="thm-clt">
              <w:r>
                <w:rPr>
                  <w:rStyle w:val="Hyperlink"/>
                </w:rPr>
                <w:t xml:space="preserve">Theorem 1</w:t>
              </w:r>
            </w:hyperlink>
            <w:r>
              <w:t xml:space="preserve"> </w:t>
            </w:r>
            <w:r>
              <w:t xml:space="preserve">and</w:t>
            </w:r>
            <w:r>
              <w:t xml:space="preserve"> </w:t>
            </w:r>
            <w:hyperlink w:anchor="def-se">
              <w:r>
                <w:rPr>
                  <w:rStyle w:val="Hyperlink"/>
                </w:rPr>
                <w:t xml:space="preserve">Definition 1</w:t>
              </w:r>
            </w:hyperlink>
            <w:r>
              <w:t xml:space="preserve">, an approximate 95% confidence interval for</w:t>
            </w:r>
            <w:r>
              <w:t xml:space="preserve"> </w:t>
            </w:r>
            <m:oMath>
              <m:r>
                <m:t>μ</m:t>
              </m:r>
            </m:oMath>
            <w:r>
              <w:t xml:space="preserve"> </w:t>
            </w:r>
            <w:r>
              <w:t xml:space="preserve">is: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acc>
                  <m:accPr>
                    <m:chr m:val="‾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±</m:t>
                </m:r>
                <m:r>
                  <m:t>1.96</m:t>
                </m:r>
                <m:r>
                  <m:rPr>
                    <m:sty m:val="p"/>
                  </m:rPr>
                  <m:t>⋅</m:t>
                </m:r>
                <m:r>
                  <m:t>S</m:t>
                </m:r>
                <m:r>
                  <m:t>E</m:t>
                </m:r>
              </m:oMath>
            </m:oMathPara>
          </w:p>
          <w:bookmarkEnd w:id="40"/>
        </w:tc>
      </w:tr>
    </w:tbl>
    <w:bookmarkEnd w:id="41"/>
    <w:bookmarkStart w:id="44" w:name="examples-and-exercises"/>
    <w:p>
      <w:pPr>
        <w:pStyle w:val="Heading3"/>
      </w:pPr>
      <w:r>
        <w:t xml:space="preserve">5.3 Examples and Exercises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42" w:name="exm-ci"/>
          <w:p>
            <w:pPr>
              <w:pStyle w:val="BodyText"/>
            </w:pPr>
            <w:r>
              <w:rPr>
                <w:b/>
                <w:bCs/>
              </w:rPr>
              <w:t xml:space="preserve">Example 1 (95% Confidence Interval)</w:t>
            </w:r>
            <w:r>
              <w:t xml:space="preserve"> </w:t>
            </w:r>
            <w:r>
              <w:t xml:space="preserve">For the sample below, we calculate a 95% confidence interval for the mean:</w:t>
            </w:r>
          </w:p>
          <w:p>
            <w:pPr>
              <w:pStyle w:val="SourceCode"/>
            </w:pPr>
            <w:r>
              <w:rPr>
                <w:rStyle w:val="FunctionTok"/>
              </w:rPr>
              <w:t xml:space="preserve">set.seed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42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sample_vals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rnorm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50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mean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sd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(sample_vals)</w:t>
            </w:r>
            <w:r>
              <w:br/>
            </w:r>
            <w:r>
              <w:rPr>
                <w:rStyle w:val="NormalTok"/>
              </w:rPr>
              <w:t xml:space="preserve">se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sd</w:t>
            </w:r>
            <w:r>
              <w:rPr>
                <w:rStyle w:val="NormalTok"/>
              </w:rPr>
              <w:t xml:space="preserve">(sample_vals)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sqrt</w:t>
            </w:r>
            <w:r>
              <w:rPr>
                <w:rStyle w:val="NormalTok"/>
              </w:rPr>
              <w:t xml:space="preserve">(n)</w:t>
            </w:r>
            <w:r>
              <w:br/>
            </w:r>
            <w:r>
              <w:rPr>
                <w:rStyle w:val="NormalTok"/>
              </w:rPr>
              <w:t xml:space="preserve">ci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mean</w:t>
            </w:r>
            <w:r>
              <w:rPr>
                <w:rStyle w:val="NormalTok"/>
              </w:rPr>
              <w:t xml:space="preserve">(sample_vals)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1.96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se</w:t>
            </w:r>
            <w:r>
              <w:br/>
            </w:r>
            <w:r>
              <w:rPr>
                <w:rStyle w:val="FunctionTok"/>
              </w:rPr>
              <w:t xml:space="preserve">cat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sprintf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"Mean = %.3f, 95%% CI: [%.3f, %.3f]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"</w:t>
            </w:r>
            <w:r>
              <w:rPr>
                <w:rStyle w:val="NormalTok"/>
              </w:rPr>
              <w:t xml:space="preserve">, </w:t>
            </w:r>
            <w:r>
              <w:rPr>
                <w:rStyle w:val="FunctionTok"/>
              </w:rPr>
              <w:t xml:space="preserve">mean</w:t>
            </w:r>
            <w:r>
              <w:rPr>
                <w:rStyle w:val="NormalTok"/>
              </w:rPr>
              <w:t xml:space="preserve">(sample_vals), ci[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], ci[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]))</w:t>
            </w:r>
            <w:r>
              <w:br/>
            </w:r>
            <w:r>
              <w:rPr>
                <w:rStyle w:val="CommentTok"/>
              </w:rPr>
              <w:t xml:space="preserve">#&gt; Mean = 4.929, 95% CI: [4.290, 5.567]</w:t>
            </w:r>
          </w:p>
          <w:bookmarkEnd w:id="42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43" w:name="exr-se"/>
          <w:p>
            <w:pPr>
              <w:pStyle w:val="BodyText"/>
            </w:pPr>
            <w:r>
              <w:rPr>
                <w:b/>
                <w:bCs/>
              </w:rPr>
              <w:t xml:space="preserve">Exercise 1 (Exercise: Computing Standard Error)</w:t>
            </w:r>
            <w:r>
              <w:t xml:space="preserve"> </w:t>
            </w:r>
            <w:r>
              <w:t xml:space="preserve">Compute the standard error for a sample of size</w:t>
            </w:r>
            <w: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=</m:t>
              </m:r>
              <m:r>
                <m:t>100</m:t>
              </m:r>
            </m:oMath>
            <w:r>
              <w:t xml:space="preserve"> </w:t>
            </w:r>
            <w:r>
              <w:t xml:space="preserve">with sample standard deviation</w:t>
            </w:r>
            <w:r>
              <w:t xml:space="preserve"> </w:t>
            </w:r>
            <m:oMath>
              <m:r>
                <m:t>s</m:t>
              </m:r>
              <m:r>
                <m:rPr>
                  <m:sty m:val="p"/>
                </m:rPr>
                <m:t>=</m:t>
              </m:r>
              <m:r>
                <m:t>15</m:t>
              </m:r>
            </m:oMath>
            <w:r>
              <w:t xml:space="preserve">.</w:t>
            </w:r>
          </w:p>
          <w:bookmarkEnd w:id="43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Solution</w:t>
            </w:r>
            <w:r>
              <w:t xml:space="preserve">. 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S</m:t>
                </m:r>
                <m:r>
                  <m:t>E</m:t>
                </m:r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15</m:t>
                    </m:r>
                  </m:num>
                  <m:den>
                    <m:rad>
                      <m:radPr>
                        <m:degHide m:val="on"/>
                      </m:radPr>
                      <m:deg/>
                      <m:e>
                        <m:r>
                          <m:t>100</m:t>
                        </m:r>
                      </m:e>
                    </m:rad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15</m:t>
                    </m:r>
                  </m:num>
                  <m:den>
                    <m:r>
                      <m:t>10</m:t>
                    </m:r>
                  </m:den>
                </m:f>
                <m:r>
                  <m:rPr>
                    <m:sty m:val="p"/>
                  </m:rPr>
                  <m:t>=</m:t>
                </m:r>
                <m:r>
                  <m:t>1.5</m:t>
                </m:r>
              </m:oMath>
            </m:oMathPara>
          </w:p>
          <w:p/>
        </w:tc>
      </w:tr>
    </w:tbl>
    <w:bookmarkEnd w:id="44"/>
    <w:bookmarkEnd w:id="45"/>
    <w:bookmarkStart w:id="46" w:name="mathematical-notation"/>
    <w:p>
      <w:pPr>
        <w:pStyle w:val="Heading2"/>
      </w:pPr>
      <w:r>
        <w:t xml:space="preserve">6 Mathematical Notation</w:t>
      </w:r>
    </w:p>
    <w:p>
      <w:pPr>
        <w:pStyle w:val="FirstParagraph"/>
      </w:pPr>
      <w:r>
        <w:t xml:space="preserve">Quarto excels at mathematical notation. Here’s an example of a statistical formula:</w:t>
      </w:r>
    </w:p>
    <w:p>
      <w:pPr>
        <w:pStyle w:val="BodyText"/>
      </w:pPr>
      <w:r>
        <w:t xml:space="preserve">The standard error of the mean is calculated as:</w:t>
      </w:r>
    </w:p>
    <w:p>
      <w:pPr>
        <w:pStyle w:val="BodyText"/>
      </w:pPr>
      <m:oMathPara>
        <m:oMathParaPr>
          <m:jc m:val="center"/>
        </m:oMathParaPr>
        <m:oMath>
          <m:r>
            <m:t>S</m:t>
          </m:r>
          <m:r>
            <m:t>E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s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n</m:t>
                  </m:r>
                </m:e>
              </m:rad>
            </m:den>
          </m:f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 the sample standard deviation and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the sample size.</w:t>
      </w:r>
    </w:p>
    <w:p>
      <w:pPr>
        <w:pStyle w:val="BodyText"/>
      </w:pPr>
      <w:r>
        <w:t xml:space="preserve">For a confidence interval:</w:t>
      </w:r>
    </w:p>
    <w:p>
      <w:pPr>
        <w:pStyle w:val="BodyText"/>
      </w:pPr>
      <m:oMathPara>
        <m:oMathParaPr>
          <m:jc m:val="center"/>
        </m:oMathParaPr>
        <m:oMath>
          <m:r>
            <m:t>C</m:t>
          </m:r>
          <m:r>
            <m:t>I</m:t>
          </m:r>
          <m:r>
            <m:rPr>
              <m:sty m:val="p"/>
            </m:rPr>
            <m:t>=</m:t>
          </m:r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±</m:t>
          </m:r>
          <m:sSub>
            <m:e>
              <m:r>
                <m:t>t</m:t>
              </m:r>
            </m:e>
            <m:sub>
              <m:r>
                <m:t>α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sub>
          </m:sSub>
          <m:r>
            <m:rPr>
              <m:sty m:val="p"/>
            </m:rPr>
            <m:t>⋅</m:t>
          </m:r>
          <m:r>
            <m:t>S</m:t>
          </m:r>
          <m:r>
            <m:t>E</m:t>
          </m:r>
        </m:oMath>
      </m:oMathPara>
    </w:p>
    <w:bookmarkEnd w:id="46"/>
    <w:bookmarkStart w:id="50" w:name="tips-and-best-practices"/>
    <w:p>
      <w:pPr>
        <w:pStyle w:val="Heading2"/>
      </w:pPr>
      <w:r>
        <w:t xml:space="preserve">7 Tips and Best Practices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4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Expanding tip section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Click to expand this section for additional tips: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t xml:space="preserve">Use descriptive chunk labels for better organization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t xml:space="preserve">Set global chunk options at the beginning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t xml:space="preserve">Use cross-references to link related content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t xml:space="preserve">Leverage callouts for important information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t xml:space="preserve">Consider code folding for long code blocks</w:t>
            </w:r>
          </w:p>
          <w:p/>
        </w:tc>
      </w:tr>
    </w:tbl>
    <w:bookmarkEnd w:id="50"/>
    <w:bookmarkStart w:id="51" w:name="conclusion"/>
    <w:p>
      <w:pPr>
        <w:pStyle w:val="Heading2"/>
      </w:pPr>
      <w:r>
        <w:t xml:space="preserve">8 Conclusion</w:t>
      </w:r>
    </w:p>
    <w:p>
      <w:pPr>
        <w:pStyle w:val="FirstParagraph"/>
      </w:pPr>
      <w:r>
        <w:t xml:space="preserve">This article demonstrates the advanced capabilities of Quarto for creating rich, interactive documentation for R packages.</w:t>
      </w:r>
    </w:p>
    <w:bookmarkEnd w:id="51"/>
    <w:bookmarkStart w:id="55" w:name="learn-more"/>
    <w:p>
      <w:pPr>
        <w:pStyle w:val="Heading2"/>
      </w:pPr>
      <w:r>
        <w:t xml:space="preserve">9 Learn More</w:t>
      </w:r>
    </w:p>
    <w:p>
      <w:pPr>
        <w:pStyle w:val="Compact"/>
        <w:numPr>
          <w:ilvl w:val="0"/>
          <w:numId w:val="1006"/>
        </w:numPr>
      </w:pPr>
      <w:r>
        <w:t xml:space="preserve">Visit the</w:t>
      </w:r>
      <w:r>
        <w:t xml:space="preserve"> </w:t>
      </w:r>
      <w:hyperlink r:id="rId52">
        <w:r>
          <w:rPr>
            <w:rStyle w:val="Hyperlink"/>
          </w:rPr>
          <w:t xml:space="preserve">package website</w:t>
        </w:r>
      </w:hyperlink>
    </w:p>
    <w:p>
      <w:pPr>
        <w:pStyle w:val="Compact"/>
        <w:numPr>
          <w:ilvl w:val="0"/>
          <w:numId w:val="1006"/>
        </w:numPr>
      </w:pPr>
      <w:r>
        <w:t xml:space="preserve">Check out the</w:t>
      </w:r>
      <w:r>
        <w:t xml:space="preserve"> </w:t>
      </w:r>
      <w:hyperlink r:id="rId53">
        <w:r>
          <w:rPr>
            <w:rStyle w:val="Hyperlink"/>
          </w:rPr>
          <w:t xml:space="preserve">GitHub repository</w:t>
        </w:r>
      </w:hyperlink>
    </w:p>
    <w:p>
      <w:pPr>
        <w:pStyle w:val="Compact"/>
        <w:numPr>
          <w:ilvl w:val="0"/>
          <w:numId w:val="1006"/>
        </w:numPr>
      </w:pPr>
      <w:r>
        <w:t xml:space="preserve">Read the</w:t>
      </w:r>
      <w:r>
        <w:t xml:space="preserve"> </w:t>
      </w:r>
      <w:hyperlink r:id="rId54">
        <w:r>
          <w:rPr>
            <w:rStyle w:val="Hyperlink"/>
          </w:rPr>
          <w:t xml:space="preserve">Quarto documentation</w:t>
        </w:r>
      </w:hyperlink>
    </w:p>
    <w:bookmarkEnd w:id="55"/>
    <w:bookmarkStart w:id="57" w:name="references"/>
    <w:p>
      <w:pPr>
        <w:pStyle w:val="Heading2"/>
      </w:pPr>
      <w:r>
        <w:t xml:space="preserve">10 References</w:t>
      </w:r>
    </w:p>
    <w:bookmarkStart w:id="56" w:name="refs"/>
    <w:bookmarkEnd w:id="56"/>
    <w:bookmarkEnd w:id="5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3" Target="media/rId23.png" /><Relationship Type="http://schemas.openxmlformats.org/officeDocument/2006/relationships/image" Id="rId47" Target="media/rId47.png" /><Relationship Type="http://schemas.openxmlformats.org/officeDocument/2006/relationships/image" Id="rId26" Target="media/rId26.png" /><Relationship Type="http://schemas.openxmlformats.org/officeDocument/2006/relationships/image" Id="rId11" Target="media/rId11.png" /><Relationship Type="http://schemas.openxmlformats.org/officeDocument/2006/relationships/image" Id="rId19" Target="media/rId19.png" /><Relationship Type="http://schemas.openxmlformats.org/officeDocument/2006/relationships/image" Id="rId30" Target="media/rId30.png" /><Relationship Type="http://schemas.openxmlformats.org/officeDocument/2006/relationships/hyperlink" Id="rId53" Target="https://github.com/UCD-SERG/rpt" TargetMode="External" /><Relationship Type="http://schemas.openxmlformats.org/officeDocument/2006/relationships/hyperlink" Id="rId54" Target="https://quarto.org/" TargetMode="External" /><Relationship Type="http://schemas.openxmlformats.org/officeDocument/2006/relationships/hyperlink" Id="rId52" Target="https://ucd-serg.github.io/rpt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53" Target="https://github.com/UCD-SERG/rpt" TargetMode="External" /><Relationship Type="http://schemas.openxmlformats.org/officeDocument/2006/relationships/hyperlink" Id="rId54" Target="https://quarto.org/" TargetMode="External" /><Relationship Type="http://schemas.openxmlformats.org/officeDocument/2006/relationships/hyperlink" Id="rId52" Target="https://ucd-serg.github.io/rpt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Advanced Quarto Article</dc:title>
  <dc:creator>UC Davis Seroepidemiology Research Group (UCD-SERG)</dc:creator>
  <cp:keywords/>
  <dcterms:created xsi:type="dcterms:W3CDTF">2026-10-23T00:59:01Z</dcterms:created>
  <dcterms:modified xsi:type="dcterms:W3CDTF">2026-10-23T00:59:01Z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ibliography">
    <vt:lpwstr/>
  </property>
  <property fmtid="{D5CDD505-2E9C-101B-9397-08002B2CF9AE}" pid="5" name="by-author">
    <vt:lpwstr/>
  </property>
  <property fmtid="{D5CDD505-2E9C-101B-9397-08002B2CF9AE}" pid="6" name="callouty-theorem">
    <vt:lpwstr/>
  </property>
  <property fmtid="{D5CDD505-2E9C-101B-9397-08002B2CF9AE}" pid="7" name="custom-callout">
    <vt:lpwstr/>
  </property>
  <property fmtid="{D5CDD505-2E9C-101B-9397-08002B2CF9AE}" pid="8" name="date">
    <vt:lpwstr>2026-10-23</vt:lpwstr>
  </property>
  <property fmtid="{D5CDD505-2E9C-101B-9397-08002B2CF9AE}" pid="9" name="header-includes">
    <vt:lpwstr/>
  </property>
  <property fmtid="{D5CDD505-2E9C-101B-9397-08002B2CF9AE}" pid="10" name="include-after">
    <vt:lpwstr/>
  </property>
  <property fmtid="{D5CDD505-2E9C-101B-9397-08002B2CF9AE}" pid="11" name="include-before">
    <vt:lpwstr/>
  </property>
  <property fmtid="{D5CDD505-2E9C-101B-9397-08002B2CF9AE}" pid="12" name="labels">
    <vt:lpwstr/>
  </property>
  <property fmtid="{D5CDD505-2E9C-101B-9397-08002B2CF9AE}" pid="13" name="toc-title">
    <vt:lpwstr>Table of contents</vt:lpwstr>
  </property>
</Properties>
</file>