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2026-10-09 16:39:05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bookmarkStart w:id="62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0" w:name="def-agreement-table"/>
    <w:p>
      <w:pPr>
        <w:pStyle w:val="BodyText"/>
      </w:pPr>
      <w:r>
        <w:rPr>
          <w:b/>
          <w:bCs/>
        </w:rPr>
        <w:t xml:space="preserve">Definition 7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59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1"/>
    <w:bookmarkEnd w:id="62"/>
    <w:bookmarkStart w:id="87" w:name="agreement-proportions"/>
    <w:p>
      <w:pPr>
        <w:pStyle w:val="Heading2"/>
      </w:pPr>
      <w:r>
        <w:t xml:space="preserve">6 Agreement proportions</w:t>
      </w:r>
    </w:p>
    <w:bookmarkStart w:id="64" w:name="def-overall-agreement"/>
    <w:p>
      <w:pPr>
        <w:pStyle w:val="FirstParagraph"/>
      </w:pPr>
      <w:r>
        <w:rPr>
          <w:b/>
          <w:bCs/>
        </w:rPr>
        <w:t xml:space="preserve">Definition 8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63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65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71" w:name="def-positive-agreement"/>
    <w:p>
      <w:pPr>
        <w:pStyle w:val="FirstParagraph"/>
      </w:pPr>
      <w:r>
        <w:rPr>
          <w:b/>
          <w:bCs/>
        </w:rPr>
        <w:t xml:space="preserve">Definition 9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67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71"/>
    <w:bookmarkStart w:id="73" w:name="exm-positive-agreement"/>
    <w:p>
      <w:pPr>
        <w:pStyle w:val="FirstParagraph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72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3"/>
    <w:bookmarkStart w:id="77" w:name="def-negative-agreement"/>
    <w:p>
      <w:pPr>
        <w:pStyle w:val="BodyText"/>
      </w:pPr>
      <w:r>
        <w:rPr>
          <w:b/>
          <w:bCs/>
        </w:rPr>
        <w:t xml:space="preserve">Definition 10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4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77"/>
    <w:bookmarkStart w:id="79" w:name="exm-negative-agreement"/>
    <w:p>
      <w:pPr>
        <w:pStyle w:val="FirstParagraph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8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79"/>
    <w:bookmarkStart w:id="81" w:name="def-agent-only-rate"/>
    <w:p>
      <w:pPr>
        <w:pStyle w:val="BodyText"/>
      </w:pPr>
      <w:r>
        <w:rPr>
          <w:b/>
          <w:bCs/>
        </w:rPr>
        <w:t xml:space="preserve">Definition 11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0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82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3"/>
    <w:bookmarkStart w:id="85" w:name="def-agreement-test-measures"/>
    <w:p>
      <w:pPr>
        <w:pStyle w:val="BodyText"/>
      </w:pPr>
      <w:r>
        <w:rPr>
          <w:b/>
          <w:bCs/>
        </w:rPr>
        <w:t xml:space="preserve">Definition 12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4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6"/>
    <w:bookmarkEnd w:id="87"/>
    <w:bookmarkStart w:id="106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89" w:name="def-harmonic-mean"/>
    <w:p>
      <w:pPr>
        <w:pStyle w:val="FirstParagraph"/>
      </w:pPr>
      <w:r>
        <w:rPr>
          <w:b/>
          <w:bCs/>
        </w:rPr>
        <w:t xml:space="preserve">Definition 13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88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8"/>
    </w:p>
    <w:bookmarkEnd w:id="89"/>
    <w:bookmarkStart w:id="91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bookmarkStart w:id="90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1"/>
    <w:bookmarkStart w:id="92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2"/>
    <w:bookmarkStart w:id="94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3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6" w:name="thm-pos-agreement-harmonic"/>
    <w:p>
      <w:pPr>
        <w:pStyle w:val="FirstParagraph"/>
      </w:pPr>
      <w:r>
        <w:rPr>
          <w:b/>
          <w:bCs/>
        </w:rPr>
        <w:t xml:space="preserve">Theorem 2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w:bookmarkStart w:id="95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98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7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7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98"/>
    <w:bookmarkStart w:id="99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9"/>
    <w:bookmarkStart w:id="101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0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bookmarkStart w:id="103" w:name="thm-neg-agreement-harmonic"/>
    <w:p>
      <w:pPr>
        <w:pStyle w:val="FirstParagraph"/>
      </w:pPr>
      <w:r>
        <w:rPr>
          <w:b/>
          <w:bCs/>
        </w:rPr>
        <w:t xml:space="preserve">Theorem 3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w:bookmarkStart w:id="102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05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4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5"/>
    <w:bookmarkEnd w:id="106"/>
    <w:bookmarkStart w:id="128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14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7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0"/>
    <w:bookmarkStart w:id="112" w:name="exm-chance-agreement"/>
    <w:p>
      <w:pPr>
        <w:pStyle w:val="FirstParagraph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14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6" w:name="def-cohen-kappa"/>
    <w:p>
      <w:pPr>
        <w:pStyle w:val="BodyText"/>
      </w:pPr>
      <w:r>
        <w:rPr>
          <w:b/>
          <w:bCs/>
        </w:rPr>
        <w:t xml:space="preserve">Definition 15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6"/>
    <w:bookmarkStart w:id="118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17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8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High overall agreement with low kappa is the first paradox</w:t>
            </w:r>
            <w:r>
              <w:t xml:space="preserve"> </w:t>
            </w:r>
            <w:r>
              <w:t xml:space="preserve">described by</w:t>
            </w:r>
            <w:r>
              <w:t xml:space="preserve"> </w:t>
            </w:r>
            <w:r>
              <w:t xml:space="preserve">Feinstein and Cicchetti (1990)</w:t>
            </w:r>
            <w:r>
              <w:t xml:space="preserve">.</w:t>
            </w:r>
          </w:p>
          <w:p/>
        </w:tc>
      </w:tr>
    </w:tbl>
    <w:bookmarkEnd w:id="121"/>
    <w:bookmarkStart w:id="124" w:name="rem-kappa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1 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Feinstein and Cicchetti (1990)</w:t>
            </w:r>
            <w:r>
              <w:t xml:space="preserve">;</w:t>
            </w:r>
            <w:r>
              <w:t xml:space="preserve"> </w:t>
            </w:r>
            <w:r>
              <w:t xml:space="preserve">1.</w:t>
            </w:r>
          </w:p>
          <w:p/>
        </w:tc>
      </w:tr>
    </w:tbl>
    <w:bookmarkEnd w:id="124"/>
    <w:bookmarkStart w:id="127" w:name="refs"/>
    <w:bookmarkStart w:id="126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5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hyperlink" Id="rId125" Target="https://doi.org/10.1016/0895-4356(90)90158-L" TargetMode="Externa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https://doi.org/10.1016/0895-4356(90)90158-L" TargetMode="Externa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2026-10-09T23:45:04Z</dcterms:created>
  <dcterms:modified xsi:type="dcterms:W3CDTF">2026-10-09T23:45:04Z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