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2026-10-07 17:50:26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28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2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p>
      <w:pPr>
        <w:pStyle w:val="BodyText"/>
      </w:pP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Start w:id="21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1"/>
    <w:p>
      <w:pPr>
        <w:pStyle w:val="BodyText"/>
      </w:pP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2"/>
    <w:bookmarkStart w:id="25" w:name="sec-fisher"/>
    <w:p>
      <w:pPr>
        <w:pStyle w:val="Heading3"/>
      </w:pPr>
      <w:r>
        <w:t xml:space="preserve">2.3 Fisher’s exact test</w:t>
      </w:r>
    </w:p>
    <w:bookmarkStart w:id="23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3"/>
    <w:p>
      <w:pPr>
        <w:pStyle w:val="BodyText"/>
      </w:pP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Start w:id="24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4"/>
    <w:bookmarkEnd w:id="25"/>
    <w:bookmarkStart w:id="27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6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27"/>
    <w:bookmarkEnd w:id="28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29"/>
    <w:bookmarkStart w:id="3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0" Target="https://doi.org/10.1007/978-1-4614-1353-0" TargetMode="External" /><Relationship Type="http://schemas.openxmlformats.org/officeDocument/2006/relationships/hyperlink" Id="rId26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2026-10-08T00:56:04Z</dcterms:created>
  <dcterms:modified xsi:type="dcterms:W3CDTF">2026-10-08T00:56:04Z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17:50:26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