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9.png" ContentType="image/png"/>
  <Override PartName="/word/media/rId33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Nonparametric Models</w:t>
      </w:r>
    </w:p>
    <w:p>
      <w:pPr>
        <w:pStyle w:val="Date"/>
      </w:pPr>
      <w:r>
        <w:t xml:space="preserve">Last modified: 2026-10-16 06:59:17 (PDT)</w:t>
      </w:r>
    </w:p>
    <w:bookmarkStart w:id="14" w:name="empirical-distribution"/>
    <w:p>
      <w:pPr>
        <w:pStyle w:val="Heading2"/>
      </w:pPr>
      <w:r>
        <w:t xml:space="preserve">1 Empirical distribution</w:t>
      </w:r>
    </w:p>
    <w:bookmarkStart w:id="10" w:name="def-empirical-distribution"/>
    <w:p>
      <w:pPr>
        <w:pStyle w:val="FirstParagraph"/>
      </w:pPr>
      <w:r>
        <w:rPr>
          <w:b/>
          <w:bCs/>
        </w:rPr>
        <w:t xml:space="preserve">Definition 1 (Empirical distribution)</w:t>
      </w:r>
      <w:r>
        <w:t xml:space="preserve"> </w:t>
      </w:r>
      <w:r>
        <w:t xml:space="preserve">For observed values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empirical distribution</w:t>
      </w:r>
      <w:r>
        <w:t xml:space="preserve"> </w:t>
      </w:r>
      <w:r>
        <w:t xml:space="preserve">is the distribution of a value</w:t>
      </w:r>
      <w:r>
        <w:t xml:space="preserve"> </w:t>
      </w:r>
      <w:hyperlink r:id="rId9">
        <w:r>
          <w:rPr>
            <w:rStyle w:val="Hyperlink"/>
          </w:rPr>
          <w:t xml:space="preserve">chosen at random</w:t>
        </w:r>
      </w:hyperlink>
      <w:r>
        <w:t xml:space="preserve"> </w:t>
      </w:r>
      <w:r>
        <w:t xml:space="preserve">from the sample,</w:t>
      </w:r>
      <w:r>
        <w:t xml:space="preserve"> </w:t>
      </w:r>
      <w:r>
        <w:t xml:space="preserve">each of 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 being equally likely:</w:t>
      </w:r>
      <w:r>
        <w:t xml:space="preserve"> </w:t>
      </w:r>
      <w:r>
        <w:t xml:space="preserve">the probability that the value falls in a set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j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cr m:val="double-struck"/>
                  <m:sty m:val="p"/>
                </m:rPr>
                <m:t>1</m:t>
              </m:r>
            </m:e>
          </m:nary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t>x</m:t>
                  </m:r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∈</m:t>
              </m:r>
              <m:r>
                <m:t>A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10"/>
    <w:bookmarkStart w:id="11" w:name="exm-empirical-distribution"/>
    <w:p>
      <w:pPr>
        <w:pStyle w:val="FirstParagraph"/>
      </w:pPr>
      <w:r>
        <w:rPr>
          <w:b/>
          <w:bCs/>
        </w:rPr>
        <w:t xml:space="preserve">Example 1 (Numerical example: empirical distribution)</w:t>
      </w:r>
      <w:r>
        <w:t xml:space="preserve"> </w:t>
      </w:r>
      <w:r>
        <w:t xml:space="preserve">Suppose the observed values are</w:t>
      </w:r>
      <w:r>
        <w:t xml:space="preserve"> </w:t>
      </w:r>
      <m:oMath>
        <m:r>
          <m:t>4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7</m:t>
        </m:r>
        <m:r>
          <m:rPr>
            <m:sty m:val="p"/>
          </m:rPr>
          <m:t>,</m:t>
        </m:r>
        <m:r>
          <m:t>3</m:t>
        </m:r>
      </m:oMath>
      <w:r>
        <w:t xml:space="preserve">, so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4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rPr>
            <m:sty m:val="p"/>
          </m:rPr>
          <m:t>[</m:t>
        </m:r>
        <m:r>
          <m:t>2</m:t>
        </m:r>
        <m:r>
          <m:rPr>
            <m:sty m:val="p"/>
          </m:rPr>
          <m:t>,</m:t>
        </m:r>
        <m:r>
          <m:t>5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Two of the four values (4 and 3) lie in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w:r>
        <w:t xml:space="preserve">so the empirical distribution gives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probability</w:t>
      </w:r>
      <w:r>
        <w:t xml:space="preserve"> </w:t>
      </w:r>
      <m:oMath>
        <m:r>
          <m:t>2</m:t>
        </m:r>
        <m:r>
          <m:rPr>
            <m:sty m:val="p"/>
          </m:rPr>
          <m:t>/</m:t>
        </m:r>
        <m:r>
          <m:t>4</m:t>
        </m:r>
        <m:r>
          <m:rPr>
            <m:sty m:val="p"/>
          </m:rPr>
          <m:t>=</m:t>
        </m:r>
        <m:r>
          <m:t>0.5</m:t>
        </m:r>
      </m:oMath>
      <w:r>
        <w:t xml:space="preserve">.</w:t>
      </w:r>
      <w:r>
        <w:t xml:space="preserve"> </w:t>
      </w:r>
      <w:r>
        <w:t xml:space="preserve">Each observed value has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4</m:t>
        </m:r>
      </m:oMath>
      <w:r>
        <w:t xml:space="preserve">,</w:t>
      </w:r>
      <w:r>
        <w:t xml:space="preserve"> </w:t>
      </w:r>
      <w:r>
        <w:t xml:space="preserve">and any set containing none of them has probability</w:t>
      </w:r>
      <w:r>
        <w:t xml:space="preserve"> </w:t>
      </w:r>
      <m:oMath>
        <m:r>
          <m:t>0</m:t>
        </m:r>
      </m:oMath>
      <w:r>
        <w:t xml:space="preserve">.</w:t>
      </w:r>
    </w:p>
    <w:bookmarkEnd w:id="11"/>
    <w:p>
      <w:pPr>
        <w:pStyle w:val="BodyText"/>
      </w:pPr>
      <w:r>
        <w:rPr>
          <w:i/>
          <w:iCs/>
        </w:rPr>
        <w:t xml:space="preserve">Remark</w:t>
      </w:r>
      <w:r>
        <w:t xml:space="preserve"> (What</w:t>
      </w:r>
      <w:r>
        <w:t xml:space="preserve"> </w:t>
      </w:r>
      <w:r>
        <w:t xml:space="preserve">“empirical”</w:t>
      </w:r>
      <w:r>
        <w:t xml:space="preserve"> </w:t>
      </w:r>
      <w:r>
        <w:t xml:space="preserve">means). </w:t>
      </w:r>
      <w:r>
        <w:t xml:space="preserve">“Empirical”</w:t>
      </w:r>
      <w:r>
        <w:t xml:space="preserve"> </w:t>
      </w:r>
      <w:r>
        <w:t xml:space="preserve">means computed from the observed data,</w:t>
      </w:r>
      <w:r>
        <w:t xml:space="preserve"> </w:t>
      </w:r>
      <w:r>
        <w:t xml:space="preserve">not from a model or a population.</w:t>
      </w:r>
      <w:r>
        <w:t xml:space="preserve"> </w:t>
      </w:r>
      <w:r>
        <w:t xml:space="preserve">An empirical quantity is the matching population quantity</w:t>
      </w:r>
      <w:r>
        <w:t xml:space="preserve"> </w:t>
      </w:r>
      <w:r>
        <w:t xml:space="preserve">with the</w:t>
      </w:r>
      <w:r>
        <w:t xml:space="preserve"> </w:t>
      </w:r>
      <w:hyperlink r:id="rId12">
        <w:r>
          <w:rPr>
            <w:rStyle w:val="Hyperlink"/>
          </w:rPr>
          <w:t xml:space="preserve">population distribution</w:t>
        </w:r>
      </w:hyperlink>
      <w:r>
        <w:t xml:space="preserve"> </w:t>
      </w:r>
      <w:r>
        <w:t xml:space="preserve">replaced by the empirical distribution.</w:t>
      </w:r>
      <w:r>
        <w:t xml:space="preserve"> </w:t>
      </w:r>
      <w:r>
        <w:t xml:space="preserve">For example,</w:t>
      </w:r>
      <w:r>
        <w:t xml:space="preserve"> </w:t>
      </w:r>
      <w:r>
        <w:t xml:space="preserve">the mean of the empirical distribution is the</w:t>
      </w:r>
      <w:r>
        <w:t xml:space="preserve"> </w:t>
      </w:r>
      <w:hyperlink r:id="rId13">
        <w:r>
          <w:rPr>
            <w:rStyle w:val="Hyperlink"/>
          </w:rPr>
          <w:t xml:space="preserve">sample mean</w:t>
        </w:r>
      </w:hyperlink>
      <w:r>
        <w:t xml:space="preserve">,</w:t>
      </w:r>
      <w:r>
        <w:t xml:space="preserve"> </w:t>
      </w:r>
      <w:r>
        <w:t xml:space="preserve">and its CDF is the</w:t>
      </w:r>
      <w:r>
        <w:t xml:space="preserve"> </w:t>
      </w:r>
      <w:hyperlink w:anchor="def-empirical-cdf">
        <w:r>
          <w:rPr>
            <w:rStyle w:val="Hyperlink"/>
          </w:rPr>
          <w:t xml:space="preserve">empirical CDF</w:t>
        </w:r>
      </w:hyperlink>
      <w:r>
        <w:t xml:space="preserve">.</w:t>
      </w:r>
      <w:r>
        <w:t xml:space="preserve"> </w:t>
      </w:r>
      <w:r>
        <w:t xml:space="preserve">Machine learning uses the same replacement</w:t>
      </w:r>
      <w:r>
        <w:t xml:space="preserve"> </w:t>
      </w:r>
      <w:r>
        <w:t xml:space="preserve">to turn the risk of a prediction model into its</w:t>
      </w:r>
      <w:r>
        <w:t xml:space="preserve"> </w:t>
      </w:r>
      <w:r>
        <w:rPr>
          <w:i/>
          <w:iCs/>
        </w:rPr>
        <w:t xml:space="preserve">empirical risk</w:t>
      </w:r>
      <w:r>
        <w:t xml:space="preserve">.</w:t>
      </w:r>
    </w:p>
    <w:p>
      <w:pPr>
        <w:pStyle w:val="BodyText"/>
      </w:pPr>
      <w:r>
        <w:t xml:space="preserve">Because it needs only the data in hand,</w:t>
      </w:r>
      <w:r>
        <w:t xml:space="preserve"> </w:t>
      </w:r>
      <w:r>
        <w:t xml:space="preserve">an empirical quantity can always be computed,</w:t>
      </w:r>
      <w:r>
        <w:t xml:space="preserve"> </w:t>
      </w:r>
      <w:r>
        <w:t xml:space="preserve">and it serves as an estimate of the population quantity it mimics.</w:t>
      </w:r>
      <w:r>
        <w:t xml:space="preserve"> </w:t>
      </w:r>
      <w:r>
        <w:t xml:space="preserve">The bootstrap rests on this replacement:</w:t>
      </w:r>
      <w:r>
        <w:t xml:space="preserve"> </w:t>
      </w:r>
      <w:r>
        <w:t xml:space="preserve">it estimates the variability of a statistic</w:t>
      </w:r>
      <w:r>
        <w:t xml:space="preserve"> </w:t>
      </w:r>
      <w:r>
        <w:t xml:space="preserve">by sampling from the empirical distribution</w:t>
      </w:r>
      <w:r>
        <w:t xml:space="preserve"> </w:t>
      </w:r>
      <w:r>
        <w:t xml:space="preserve">(Hastie et al. 2009, sec. 7.11, p. 250; Efron and Tibshirani 1993)</w:t>
      </w:r>
      <w:r>
        <w:t xml:space="preserve">.</w:t>
      </w:r>
    </w:p>
    <w:bookmarkEnd w:id="14"/>
    <w:bookmarkStart w:id="18" w:name="empirical-cdf"/>
    <w:p>
      <w:pPr>
        <w:pStyle w:val="Heading2"/>
      </w:pPr>
      <w:r>
        <w:t xml:space="preserve">2 Empirical CDF</w:t>
      </w:r>
    </w:p>
    <w:bookmarkStart w:id="16" w:name="def-empirical-cdf"/>
    <w:p>
      <w:pPr>
        <w:pStyle w:val="FirstParagraph"/>
      </w:pPr>
      <w:r>
        <w:rPr>
          <w:b/>
          <w:bCs/>
        </w:rPr>
        <w:t xml:space="preserve">Definition 2 (Empirical CDF)</w:t>
      </w:r>
      <w:r>
        <w:t xml:space="preserve"> </w:t>
      </w:r>
      <w:r>
        <w:t xml:space="preserve">For observed values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empirical cumulative distribution function</w:t>
      </w:r>
      <w:r>
        <w:t xml:space="preserve"> </w:t>
      </w:r>
      <w:r>
        <w:t xml:space="preserve">(</w:t>
      </w:r>
      <w:r>
        <w:rPr>
          <w:b/>
          <w:bCs/>
        </w:rPr>
        <w:t xml:space="preserve">empirical CDF</w:t>
      </w:r>
      <w:r>
        <w:t xml:space="preserve">)</w:t>
      </w:r>
      <w:r>
        <w:t xml:space="preserve"> </w:t>
      </w:r>
      <w:r>
        <w:t xml:space="preserve">is the</w:t>
      </w:r>
      <w:r>
        <w:t xml:space="preserve"> </w:t>
      </w:r>
      <w:hyperlink r:id="rId15">
        <w:r>
          <w:rPr>
            <w:rStyle w:val="Hyperlink"/>
          </w:rPr>
          <w:t xml:space="preserve">CDF</w:t>
        </w:r>
      </w:hyperlink>
      <w:r>
        <w:t xml:space="preserve"> </w:t>
      </w:r>
      <w:r>
        <w:t xml:space="preserve">of the</w:t>
      </w:r>
      <w:r>
        <w:t xml:space="preserve"> </w:t>
      </w:r>
      <w:hyperlink w:anchor="def-empirical-distribution">
        <w:r>
          <w:rPr>
            <w:rStyle w:val="Hyperlink"/>
          </w:rPr>
          <w:t xml:space="preserve">empirical distribution</w:t>
        </w:r>
      </w:hyperlink>
      <w:r>
        <w:t xml:space="preserve">,</w:t>
      </w:r>
      <w:r>
        <w:t xml:space="preserve"> </w:t>
      </w:r>
      <w:r>
        <w:t xml:space="preserve">the function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/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t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j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t>I</m:t>
              </m:r>
            </m:e>
          </m:nary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j</m:t>
              </m:r>
            </m:sub>
          </m:sSub>
          <m:r>
            <m:rPr>
              <m:sty m:val="p"/>
            </m:rPr>
            <m:t>≤</m:t>
          </m:r>
          <m:r>
            <m:t>t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  <m:r>
            <m:t> </m:t>
          </m:r>
          <m:r>
            <m:t>t</m:t>
          </m:r>
          <m:r>
            <m:rPr>
              <m:sty m:val="p"/>
            </m:rPr>
            <m:t>∈</m:t>
          </m:r>
          <m:r>
            <m:rPr>
              <m:scr m:val="double-struck"/>
              <m:sty m:val="p"/>
            </m:rPr>
            <m:t>R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t>I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is the indicator function:</w:t>
      </w:r>
      <w:r>
        <w:t xml:space="preserve"> </w:t>
      </w:r>
      <m:oMath>
        <m:r>
          <m:t>I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holds,</w:t>
      </w:r>
      <w:r>
        <w:t xml:space="preserve"> </w:t>
      </w:r>
      <w:r>
        <w:t xml:space="preserve">and</w:t>
      </w:r>
      <w:r>
        <w:t xml:space="preserve"> </w:t>
      </w:r>
      <m:oMath>
        <m:r>
          <m:t>I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otherwise.</w:t>
      </w:r>
    </w:p>
    <w:bookmarkEnd w:id="16"/>
    <w:bookmarkStart w:id="17" w:name="exm-empirical-cdf"/>
    <w:p>
      <w:pPr>
        <w:pStyle w:val="BodyText"/>
      </w:pPr>
      <w:r>
        <w:rPr>
          <w:b/>
          <w:bCs/>
        </w:rPr>
        <w:t xml:space="preserve">Example 2 (Numerical example: empirical CDF)</w:t>
      </w:r>
      <w:r>
        <w:t xml:space="preserve"> </w:t>
      </w:r>
      <w:r>
        <w:t xml:space="preserve">Suppose the observed values are</w:t>
      </w:r>
      <w:r>
        <w:t xml:space="preserve"> </w:t>
      </w:r>
      <m:oMath>
        <m:r>
          <m:t>4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7</m:t>
        </m:r>
        <m:r>
          <m:rPr>
            <m:sty m:val="p"/>
          </m:rPr>
          <m:t>,</m:t>
        </m:r>
        <m:r>
          <m:t>3</m:t>
        </m:r>
      </m:oMath>
      <w:r>
        <w:t xml:space="preserve">, so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4</m:t>
        </m:r>
      </m:oMath>
      <w:r>
        <w:t xml:space="preserve">.</w:t>
      </w:r>
      <w:r>
        <w:t xml:space="preserve"> </w:t>
      </w:r>
      <w:r>
        <w:t xml:space="preserve">Two of the four values (1 and 3) are at most 3.5,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̂"/>
                </m:accPr>
                <m:e>
                  <m:r>
                    <m:t>F</m:t>
                  </m:r>
                </m:e>
              </m:acc>
              <m:r>
                <m:rPr>
                  <m:sty m:val="p"/>
                </m:rPr>
                <m:t>(</m:t>
              </m:r>
              <m:r>
                <m:t>3.5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I</m:t>
                  </m:r>
                  <m:r>
                    <m:rPr>
                      <m:sty m:val="p"/>
                    </m:rPr>
                    <m:t>(</m:t>
                  </m:r>
                  <m:r>
                    <m:t>4</m:t>
                  </m:r>
                  <m:r>
                    <m:rPr>
                      <m:sty m:val="p"/>
                    </m:rPr>
                    <m:t>≤</m:t>
                  </m:r>
                  <m:r>
                    <m:t>3.5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t>I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≤</m:t>
                  </m:r>
                  <m:r>
                    <m:t>3.5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t>I</m:t>
                  </m:r>
                  <m:r>
                    <m:rPr>
                      <m:sty m:val="p"/>
                    </m:rPr>
                    <m:t>(</m:t>
                  </m:r>
                  <m:r>
                    <m:t>7</m:t>
                  </m:r>
                  <m:r>
                    <m:rPr>
                      <m:sty m:val="p"/>
                    </m:rPr>
                    <m:t>≤</m:t>
                  </m:r>
                  <m:r>
                    <m:t>3.5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t>I</m:t>
                  </m:r>
                  <m:r>
                    <m:rPr>
                      <m:sty m:val="p"/>
                    </m:rPr>
                    <m:t>(</m:t>
                  </m:r>
                  <m:r>
                    <m:t>3</m:t>
                  </m:r>
                  <m:r>
                    <m:rPr>
                      <m:sty m:val="p"/>
                    </m:rPr>
                    <m:t>≤</m:t>
                  </m:r>
                  <m:r>
                    <m:t>3.5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acc>
                <m:accPr>
                  <m:chr m:val="̂"/>
                </m:accPr>
                <m:e>
                  <m:r>
                    <m:t>F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each indicator)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0.5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p>
      <w:pPr>
        <w:pStyle w:val="FirstParagraph"/>
      </w:pPr>
      <w:r>
        <w:t xml:space="preserve">Similarly,</w:t>
      </w:r>
      <w:r>
        <w:t xml:space="preserve"> </w:t>
      </w:r>
      <m:oMath>
        <m:acc>
          <m:accPr>
            <m:chr m:val="̂"/>
          </m:accPr>
          <m:e>
            <m:r>
              <m:t>F</m:t>
            </m:r>
          </m:e>
        </m:acc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 because no value is at most 0,</w:t>
      </w:r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̂"/>
          </m:accPr>
          <m:e>
            <m:r>
              <m:t>F</m:t>
            </m:r>
          </m:e>
        </m:acc>
        <m:r>
          <m:rPr>
            <m:sty m:val="p"/>
          </m:rPr>
          <m:t>(</m:t>
        </m:r>
        <m:r>
          <m:t>7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, because every value is at most 7.</w:t>
      </w:r>
    </w:p>
    <w:bookmarkEnd w:id="17"/>
    <w:p>
      <w:pPr>
        <w:pStyle w:val="BodyText"/>
      </w:pPr>
      <w:r>
        <w:t xml:space="preserve">Rice (2007, sec. 10.2.1, pp. 378–379)</w:t>
      </w:r>
      <w:r>
        <w:t xml:space="preserve"> </w:t>
      </w:r>
      <w:r>
        <w:t xml:space="preserve">covers the empirical CDF.</w:t>
      </w:r>
    </w:p>
    <w:bookmarkEnd w:id="18"/>
    <w:bookmarkStart w:id="21" w:name="order-statistics"/>
    <w:p>
      <w:pPr>
        <w:pStyle w:val="Heading2"/>
      </w:pPr>
      <w:r>
        <w:t xml:space="preserve">3 Order statistics</w:t>
      </w:r>
    </w:p>
    <w:bookmarkStart w:id="19" w:name="def-order-statistics"/>
    <w:p>
      <w:pPr>
        <w:pStyle w:val="FirstParagraph"/>
      </w:pPr>
      <w:r>
        <w:rPr>
          <w:b/>
          <w:bCs/>
        </w:rPr>
        <w:t xml:space="preserve">Definition 3 (Order statistics)</w:t>
      </w:r>
      <w:r>
        <w:t xml:space="preserve"> </w:t>
      </w:r>
      <w:r>
        <w:t xml:space="preserve">For observed values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order statistics</w:t>
      </w:r>
      <w:r>
        <w:t xml:space="preserve"> </w:t>
      </w:r>
      <w:r>
        <w:t xml:space="preserve">are the same values sorted in increasing order,</w:t>
      </w:r>
      <w:r>
        <w:t xml:space="preserve"> </w:t>
      </w:r>
      <w:r>
        <w:t xml:space="preserve">written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x</m:t>
              </m:r>
            </m:e>
            <m:sub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</m:sub>
          </m:sSub>
          <m:r>
            <m:rPr>
              <m:sty m:val="p"/>
            </m:rPr>
            <m:t>≤</m:t>
          </m:r>
          <m:sSub>
            <m:e>
              <m:r>
                <m:t>x</m:t>
              </m:r>
            </m:e>
            <m:sub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)</m:t>
              </m:r>
            </m:sub>
          </m:sSub>
          <m:r>
            <m:rPr>
              <m:sty m:val="p"/>
            </m:rPr>
            <m:t>≤</m:t>
          </m:r>
          <m:r>
            <m:rPr>
              <m:sty m:val="p"/>
            </m:rPr>
            <m:t>⋯</m:t>
          </m:r>
          <m:r>
            <m:rPr>
              <m:sty m:val="p"/>
            </m:rPr>
            <m:t>≤</m:t>
          </m:r>
          <m:sSub>
            <m:e>
              <m:r>
                <m:t>x</m:t>
              </m:r>
            </m:e>
            <m:sub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)</m:t>
              </m:r>
            </m:sub>
          </m:sSub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is the smallest value and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is the largest.</w:t>
      </w:r>
    </w:p>
    <w:bookmarkEnd w:id="19"/>
    <w:bookmarkStart w:id="20" w:name="exm-order-statistics"/>
    <w:p>
      <w:pPr>
        <w:pStyle w:val="BodyText"/>
      </w:pPr>
      <w:r>
        <w:rPr>
          <w:b/>
          <w:bCs/>
        </w:rPr>
        <w:t xml:space="preserve">Example 3 (Numerical example: order statistics)</w:t>
      </w:r>
      <w:r>
        <w:t xml:space="preserve"> </w:t>
      </w:r>
      <w:r>
        <w:t xml:space="preserve">If the observed values are</w:t>
      </w:r>
      <w:r>
        <w:t xml:space="preserve"> </w:t>
      </w:r>
      <m:oMath>
        <m:r>
          <m:t>4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7</m:t>
        </m:r>
        <m:r>
          <m:rPr>
            <m:sty m:val="p"/>
          </m:rPr>
          <m:t>,</m:t>
        </m:r>
        <m:r>
          <m:t>3</m:t>
        </m:r>
      </m:oMath>
      <w:r>
        <w:t xml:space="preserve">,</w:t>
      </w:r>
      <w:r>
        <w:t xml:space="preserve"> </w:t>
      </w:r>
      <w:r>
        <w:t xml:space="preserve">then the order statistics are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=</m:t>
        </m:r>
        <m:r>
          <m:t>3</m:t>
        </m:r>
      </m:oMath>
      <w:r>
        <w:t xml:space="preserve">,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3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=</m:t>
        </m:r>
        <m:r>
          <m:t>4</m:t>
        </m:r>
      </m:oMath>
      <w:r>
        <w:t xml:space="preserve">, and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4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=</m:t>
        </m:r>
        <m:r>
          <m:t>7</m:t>
        </m:r>
      </m:oMath>
      <w:r>
        <w:t xml:space="preserve">.</w:t>
      </w:r>
    </w:p>
    <w:bookmarkEnd w:id="20"/>
    <w:p>
      <w:pPr>
        <w:pStyle w:val="Compact"/>
        <w:numPr>
          <w:ilvl w:val="0"/>
          <w:numId w:val="1001"/>
        </w:numPr>
      </w:pPr>
      <w:r>
        <w:t xml:space="preserve">Hogg et al. (2019, sec. 6.3, pp. 256–263)</w:t>
      </w:r>
      <w:r>
        <w:t xml:space="preserve"> </w:t>
      </w:r>
      <w:r>
        <w:t xml:space="preserve">covers order statistics.</w:t>
      </w:r>
    </w:p>
    <w:p>
      <w:pPr>
        <w:pStyle w:val="Compact"/>
        <w:numPr>
          <w:ilvl w:val="0"/>
          <w:numId w:val="1001"/>
        </w:numPr>
      </w:pPr>
      <w:r>
        <w:t xml:space="preserve">Casella and Berger (2002, sec. 5.4, pp. 226–231)</w:t>
      </w:r>
      <w:r>
        <w:t xml:space="preserve"> </w:t>
      </w:r>
      <w:r>
        <w:t xml:space="preserve">covers order statistics.</w:t>
      </w:r>
    </w:p>
    <w:bookmarkEnd w:id="21"/>
    <w:bookmarkStart w:id="28" w:name="sample-quantiles"/>
    <w:p>
      <w:pPr>
        <w:pStyle w:val="Heading2"/>
      </w:pPr>
      <w:r>
        <w:t xml:space="preserve">4 Sample quantiles</w:t>
      </w:r>
    </w:p>
    <w:bookmarkStart w:id="22" w:name="def-sample-quantile"/>
    <w:p>
      <w:pPr>
        <w:pStyle w:val="FirstParagraph"/>
      </w:pPr>
      <w:r>
        <w:rPr>
          <w:b/>
          <w:bCs/>
        </w:rPr>
        <w:t xml:space="preserve">Definition 4 (Sample quantile function (empirical quantile function))</w:t>
      </w:r>
      <w:r>
        <w:t xml:space="preserve"> </w:t>
      </w:r>
      <w:r>
        <w:t xml:space="preserve">Given an</w:t>
      </w:r>
      <w:r>
        <w:t xml:space="preserve"> </w:t>
      </w:r>
      <w:hyperlink w:anchor="def-empirical-cdf">
        <w:r>
          <w:rPr>
            <w:rStyle w:val="Hyperlink"/>
          </w:rPr>
          <w:t xml:space="preserve">empirical CDF</w:t>
        </w:r>
      </w:hyperlink>
      <w:r>
        <w:t xml:space="preserve"> </w:t>
      </w:r>
      <m:oMath>
        <m:acc>
          <m:accPr>
            <m:chr m:val="̂"/>
          </m:accPr>
          <m:e>
            <m:r>
              <m:t>F</m:t>
            </m:r>
          </m:e>
        </m:acc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sample quantile function</w:t>
      </w:r>
      <w:r>
        <w:t xml:space="preserve"> </w:t>
      </w:r>
      <w:r>
        <w:t xml:space="preserve">(also called the</w:t>
      </w:r>
      <w:r>
        <w:t xml:space="preserve"> </w:t>
      </w:r>
      <w:r>
        <w:rPr>
          <w:b/>
          <w:bCs/>
        </w:rPr>
        <w:t xml:space="preserve">empirical quantile function</w:t>
      </w:r>
      <w:r>
        <w:t xml:space="preserve">)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Q</m:t>
              </m:r>
            </m:e>
          </m:acc>
          <m:r>
            <m:rPr>
              <m:sty m:val="p"/>
            </m:rPr>
            <m:t>(</m:t>
          </m:r>
          <m:r>
            <m:t>p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inf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t</m:t>
              </m:r>
              <m:r>
                <m:rPr>
                  <m:sty m:val="p"/>
                </m:rPr>
                <m:t>:</m:t>
              </m:r>
              <m:acc>
                <m:accPr>
                  <m:chr m:val="̂"/>
                </m:accPr>
                <m:e>
                  <m:r>
                    <m:t>F</m:t>
                  </m:r>
                </m:e>
              </m:acc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≥</m:t>
              </m:r>
              <m:r>
                <m:t>p</m:t>
              </m:r>
            </m:e>
          </m:d>
          <m:r>
            <m:t>​</m:t>
          </m:r>
          <m:r>
            <m:rPr>
              <m:sty m:val="p"/>
            </m:rPr>
            <m:t>,</m:t>
          </m:r>
          <m:r>
            <m:t> </m:t>
          </m:r>
          <m:r>
            <m:t>0</m:t>
          </m:r>
          <m:r>
            <m:rPr>
              <m:sty m:val="p"/>
            </m:rPr>
            <m:t>&lt;</m:t>
          </m:r>
          <m:r>
            <m:t>p</m:t>
          </m:r>
          <m:r>
            <m:rPr>
              <m:sty m:val="p"/>
            </m:rPr>
            <m:t>≤</m:t>
          </m:r>
          <m:r>
            <m:t>1</m:t>
          </m:r>
          <m:r>
            <m:rPr>
              <m:sty m:val="p"/>
            </m:rPr>
            <m:t>.</m:t>
          </m:r>
        </m:oMath>
      </m:oMathPara>
    </w:p>
    <w:bookmarkEnd w:id="22"/>
    <w:bookmarkStart w:id="23" w:name="def-sample-p-quantile"/>
    <w:p>
      <w:pPr>
        <w:pStyle w:val="FirstParagraph"/>
      </w:pPr>
      <w:r>
        <w:rPr>
          <w:b/>
          <w:bCs/>
        </w:rPr>
        <w:t xml:space="preserve">Definition 5 (Sample</w:t>
      </w:r>
      <w:r>
        <w:rPr>
          <w:b/>
          <w:bCs/>
        </w:rPr>
        <w:t xml:space="preserve"> </w:t>
      </w:r>
      <m:oMath>
        <m:r>
          <m:t>p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quantile (sample</w:t>
      </w:r>
      <w:r>
        <w:rPr>
          <w:b/>
          <w:bCs/>
        </w:rPr>
        <w:t xml:space="preserve"> </w:t>
      </w:r>
      <m:oMath>
        <m:r>
          <m:t>100</m:t>
        </m:r>
        <m:r>
          <m:t>p</m:t>
        </m:r>
      </m:oMath>
      <w:r>
        <w:rPr>
          <w:b/>
          <w:bCs/>
        </w:rPr>
        <w:t xml:space="preserve">th percentile))</w:t>
      </w:r>
      <w:r>
        <w:t xml:space="preserve"> </w:t>
      </w:r>
      <w:r>
        <w:t xml:space="preserve">For a given</w:t>
      </w:r>
      <w:r>
        <w:t xml:space="preserve"> </w:t>
      </w:r>
      <m:oMath>
        <m:r>
          <m:t>p</m:t>
        </m:r>
      </m:oMath>
      <w:r>
        <w:t xml:space="preserve">, the value</w:t>
      </w:r>
      <w:r>
        <w:t xml:space="preserve"> </w:t>
      </w:r>
      <m:oMath>
        <m:acc>
          <m:accPr>
            <m:chr m:val="̂"/>
          </m:accPr>
          <m:e>
            <m:r>
              <m:t>Q</m:t>
            </m:r>
          </m:e>
        </m:acc>
        <m:r>
          <m:rPr>
            <m:sty m:val="p"/>
          </m:rPr>
          <m:t>(</m:t>
        </m:r>
        <m:r>
          <m:t>p</m:t>
        </m:r>
        <m:r>
          <m:rPr>
            <m:sty m:val="p"/>
          </m:rPr>
          <m:t>)</m:t>
        </m:r>
      </m:oMath>
      <w:r>
        <w:t xml:space="preserve"> </w:t>
      </w:r>
      <w:r>
        <w:t xml:space="preserve">of the</w:t>
      </w:r>
      <w:r>
        <w:t xml:space="preserve"> </w:t>
      </w:r>
      <w:hyperlink w:anchor="def-sample-quantile">
        <w:r>
          <w:rPr>
            <w:rStyle w:val="Hyperlink"/>
          </w:rPr>
          <w:t xml:space="preserve">sample quantile function</w:t>
        </w:r>
      </w:hyperlink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sample</w:t>
      </w:r>
      <w:r>
        <w:rPr>
          <w:b/>
          <w:bCs/>
        </w:rPr>
        <w:t xml:space="preserve"> </w:t>
      </w:r>
      <m:oMath>
        <m:r>
          <m:t>p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quantile</w:t>
      </w:r>
      <w:r>
        <w:t xml:space="preserve">,</w:t>
      </w:r>
      <w:r>
        <w:t xml:space="preserve"> </w:t>
      </w:r>
      <w:r>
        <w:t xml:space="preserve">also called the</w:t>
      </w:r>
      <w:r>
        <w:t xml:space="preserve"> </w:t>
      </w:r>
      <w:r>
        <w:rPr>
          <w:b/>
          <w:bCs/>
        </w:rPr>
        <w:t xml:space="preserve">sample</w:t>
      </w:r>
      <w:r>
        <w:rPr>
          <w:b/>
          <w:bCs/>
        </w:rPr>
        <w:t xml:space="preserve"> </w:t>
      </w:r>
      <m:oMath>
        <m:r>
          <m:t>100</m:t>
        </m:r>
        <m:r>
          <m:t>p</m:t>
        </m:r>
      </m:oMath>
      <w:r>
        <w:rPr>
          <w:b/>
          <w:bCs/>
        </w:rPr>
        <w:t xml:space="preserve">th percentile</w:t>
      </w:r>
      <w:r>
        <w:t xml:space="preserve">.</w:t>
      </w:r>
    </w:p>
    <w:bookmarkEnd w:id="23"/>
    <w:p>
      <w:pPr>
        <w:pStyle w:val="BodyText"/>
      </w:pPr>
      <w:r>
        <w:t xml:space="preserve">The</w:t>
      </w:r>
      <w:r>
        <w:t xml:space="preserve"> </w:t>
      </w:r>
      <w:hyperlink r:id="rId15">
        <w:r>
          <w:rPr>
            <w:rStyle w:val="Hyperlink"/>
          </w:rPr>
          <w:t xml:space="preserve">CDF</w:t>
        </w:r>
      </w:hyperlink>
      <w:r>
        <w:t xml:space="preserve"> </w:t>
      </w:r>
      <m:oMath>
        <m:r>
          <m:t>F</m:t>
        </m:r>
      </m:oMath>
      <w:r>
        <w:t xml:space="preserve"> </w:t>
      </w:r>
      <w:r>
        <w:t xml:space="preserve">and the</w:t>
      </w:r>
      <w:r>
        <w:t xml:space="preserve"> </w:t>
      </w:r>
      <w:hyperlink r:id="rId24">
        <w:r>
          <w:rPr>
            <w:rStyle w:val="Hyperlink"/>
          </w:rPr>
          <w:t xml:space="preserve">quantile function</w:t>
        </w:r>
      </w:hyperlink>
      <w:r>
        <w:t xml:space="preserve"> </w:t>
      </w:r>
      <m:oMath>
        <m:r>
          <m:t>Q</m:t>
        </m:r>
      </m:oMath>
      <w:r>
        <w:t xml:space="preserve"> </w:t>
      </w:r>
      <w:r>
        <w:t xml:space="preserve">describe a probability distribution,</w:t>
      </w:r>
      <w:r>
        <w:t xml:space="preserve"> </w:t>
      </w:r>
      <w:r>
        <w:t xml:space="preserve">while</w:t>
      </w:r>
      <w:r>
        <w:t xml:space="preserve"> </w:t>
      </w:r>
      <m:oMath>
        <m:acc>
          <m:accPr>
            <m:chr m:val="̂"/>
          </m:accPr>
          <m:e>
            <m:r>
              <m:t>F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̂"/>
          </m:accPr>
          <m:e>
            <m:r>
              <m:t>Q</m:t>
            </m:r>
          </m:e>
        </m:acc>
      </m:oMath>
      <w:r>
        <w:t xml:space="preserve"> </w:t>
      </w:r>
      <w:r>
        <w:t xml:space="preserve">describe a sample,</w:t>
      </w:r>
      <w:r>
        <w:t xml:space="preserve"> </w:t>
      </w:r>
      <w:r>
        <w:t xml:space="preserve">and serve as estimates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Q</m:t>
        </m:r>
      </m:oMath>
      <w:r>
        <w:t xml:space="preserve">.</w:t>
      </w:r>
    </w:p>
    <w:bookmarkStart w:id="25" w:name="thm-sample-quantile-order-statistics"/>
    <w:p>
      <w:pPr>
        <w:pStyle w:val="BodyText"/>
      </w:pPr>
      <w:r>
        <w:rPr>
          <w:b/>
          <w:bCs/>
        </w:rPr>
        <w:t xml:space="preserve">Theorem 1 (Order-statistics form of the sample quantile)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≤</m:t>
        </m:r>
        <m:r>
          <m:rPr>
            <m:sty m:val="p"/>
          </m:rPr>
          <m:t>⋯</m:t>
        </m:r>
        <m:r>
          <m:rPr>
            <m:sty m:val="p"/>
          </m:rPr>
          <m:t>≤</m:t>
        </m:r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are the</w:t>
      </w:r>
      <w:r>
        <w:t xml:space="preserve"> </w:t>
      </w:r>
      <w:hyperlink w:anchor="def-order-statistics">
        <w:r>
          <w:rPr>
            <w:rStyle w:val="Hyperlink"/>
          </w:rPr>
          <w:t xml:space="preserve">order statistics</w:t>
        </w:r>
      </w:hyperlink>
      <w:r>
        <w:t xml:space="preserve"> </w:t>
      </w:r>
      <w:r>
        <w:t xml:space="preserve">and</w:t>
      </w:r>
      <w:r>
        <w:t xml:space="preserve"> </w:t>
      </w:r>
      <m:oMath>
        <m:r>
          <m:t>i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n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acc>
          <m:accPr>
            <m:chr m:val="̂"/>
          </m:accPr>
          <m:e>
            <m:r>
              <m:t>Q</m:t>
            </m:r>
          </m:e>
        </m:acc>
        <m:r>
          <m:rPr>
            <m:sty m:val="p"/>
          </m:rPr>
          <m:t>(</m:t>
        </m:r>
        <m:r>
          <m:t>p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i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for every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n</m:t>
        </m:r>
        <m:r>
          <m:rPr>
            <m:sty m:val="p"/>
          </m:rPr>
          <m:t>&lt;</m:t>
        </m:r>
        <m:r>
          <m:t>p</m:t>
        </m:r>
        <m:r>
          <m:rPr>
            <m:sty m:val="p"/>
          </m:rPr>
          <m:t>≤</m:t>
        </m:r>
        <m:r>
          <m:t>i</m:t>
        </m:r>
        <m:r>
          <m:rPr>
            <m:sty m:val="p"/>
          </m:rPr>
          <m:t>/</m:t>
        </m:r>
        <m:r>
          <m:t>n</m:t>
        </m:r>
      </m:oMath>
      <w:r>
        <w:t xml:space="preserve">.</w:t>
      </w:r>
      <w:r>
        <w:t xml:space="preserve"> </w:t>
      </w:r>
      <w:r>
        <w:t xml:space="preserve">In particular,</w:t>
      </w:r>
      <w:r>
        <w:t xml:space="preserve"> </w:t>
      </w:r>
      <m:oMath>
        <m:acc>
          <m:accPr>
            <m:chr m:val="̂"/>
          </m:accPr>
          <m:e>
            <m:r>
              <m:t>Q</m:t>
            </m:r>
          </m:e>
        </m:acc>
        <m:r>
          <m:rPr>
            <m:sty m:val="p"/>
          </m:rPr>
          <m:t>(</m:t>
        </m:r>
        <m:r>
          <m:t>i</m:t>
        </m:r>
        <m:r>
          <m:rPr>
            <m:sty m:val="p"/>
          </m:rPr>
          <m:t>/</m:t>
        </m:r>
        <m:r>
          <m:t>n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i</m:t>
            </m:r>
            <m:r>
              <m:rPr>
                <m:sty m:val="p"/>
              </m:rPr>
              <m:t>)</m:t>
            </m:r>
          </m:sub>
        </m:sSub>
      </m:oMath>
      <w:r>
        <w:t xml:space="preserve">.</w:t>
      </w:r>
    </w:p>
    <w:bookmarkEnd w:id="25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Fix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n</m:t>
        </m:r>
        <m:r>
          <m:rPr>
            <m:sty m:val="p"/>
          </m:rPr>
          <m:t>&lt;</m:t>
        </m:r>
        <m:r>
          <m:t>p</m:t>
        </m:r>
        <m:r>
          <m:rPr>
            <m:sty m:val="p"/>
          </m:rPr>
          <m:t>≤</m:t>
        </m:r>
        <m:r>
          <m:t>i</m:t>
        </m:r>
        <m:r>
          <m:rPr>
            <m:sty m:val="p"/>
          </m:rPr>
          <m:t>/</m:t>
        </m:r>
        <m:r>
          <m:t>n</m:t>
        </m:r>
      </m:oMath>
      <w:r>
        <w:t xml:space="preserve">.</w:t>
      </w:r>
    </w:p>
    <w:p>
      <w:pPr>
        <w:pStyle w:val="BodyText"/>
      </w:pPr>
      <w:r>
        <w:t xml:space="preserve">For any</w:t>
      </w:r>
      <w:r>
        <w:t xml:space="preserve"> </w:t>
      </w:r>
      <m:oMath>
        <m:r>
          <m:t>t</m:t>
        </m:r>
        <m:r>
          <m:rPr>
            <m:sty m:val="p"/>
          </m:rPr>
          <m:t>&lt;</m:t>
        </m:r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i</m:t>
            </m:r>
            <m:r>
              <m:rPr>
                <m:sty m:val="p"/>
              </m:rPr>
              <m:t>)</m:t>
            </m:r>
          </m:sub>
        </m:sSub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r>
          <m:t>i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values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i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all exceed</w:t>
      </w:r>
      <w:r>
        <w:t xml:space="preserve"> </w:t>
      </w:r>
      <m:oMath>
        <m:r>
          <m:t>t</m:t>
        </m:r>
      </m:oMath>
      <w:r>
        <w:t xml:space="preserve">,</w:t>
      </w:r>
      <w:r>
        <w:t xml:space="preserve"> </w:t>
      </w:r>
      <w:r>
        <w:t xml:space="preserve">so at most</w:t>
      </w:r>
      <w:r>
        <w:t xml:space="preserve"> </w:t>
      </w:r>
      <m:oMath>
        <m:r>
          <m:t>i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values are at most</w:t>
      </w:r>
      <w:r>
        <w:t xml:space="preserve"> </w:t>
      </w:r>
      <m:oMath>
        <m:r>
          <m:t>t</m:t>
        </m:r>
      </m:oMath>
      <w:r>
        <w:t xml:space="preserve">, and: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̂"/>
                </m:accPr>
                <m:e>
                  <m:r>
                    <m:t>F</m:t>
                  </m:r>
                </m:e>
              </m:acc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≤</m:t>
              </m:r>
              <m:f>
                <m:fPr>
                  <m:type m:val="bar"/>
                </m:fPr>
                <m:num>
                  <m:r>
                    <m:t>i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n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(at most </m:t>
              </m:r>
              <m:r>
                <m:t>i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 indicators equal 1)</m:t>
              </m:r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r>
                <m:t>p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(choice of </m:t>
              </m:r>
              <m:r>
                <m:t>p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 no</w:t>
      </w:r>
      <w:r>
        <w:t xml:space="preserve"> </w:t>
      </w:r>
      <m:oMath>
        <m:r>
          <m:t>t</m:t>
        </m:r>
        <m:r>
          <m:rPr>
            <m:sty m:val="p"/>
          </m:rPr>
          <m:t>&lt;</m:t>
        </m:r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i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belongs to the set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t</m:t>
            </m:r>
            <m:r>
              <m:rPr>
                <m:sty m:val="p"/>
              </m:rPr>
              <m:t>:</m:t>
            </m:r>
            <m:acc>
              <m:accPr>
                <m:chr m:val="̂"/>
              </m:accPr>
              <m:e>
                <m:r>
                  <m:t>F</m:t>
                </m:r>
              </m:e>
            </m:acc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≥</m:t>
            </m:r>
            <m:r>
              <m:t>p</m:t>
            </m:r>
          </m:e>
        </m:d>
        <m:r>
          <m:t>​</m:t>
        </m:r>
      </m:oMath>
      <w:r>
        <w:t xml:space="preserve">.</w:t>
      </w:r>
    </w:p>
    <w:p>
      <w:pPr>
        <w:pStyle w:val="BodyText"/>
      </w:pPr>
      <w:r>
        <w:t xml:space="preserve">At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i</m:t>
            </m:r>
            <m:r>
              <m:rPr>
                <m:sty m:val="p"/>
              </m:rPr>
              <m:t>)</m:t>
            </m:r>
          </m:sub>
        </m:sSub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values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i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are all at most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i</m:t>
            </m:r>
            <m:r>
              <m:rPr>
                <m:sty m:val="p"/>
              </m:rPr>
              <m:t>)</m:t>
            </m:r>
          </m:sub>
        </m:sSub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̂"/>
                </m:accPr>
                <m:e>
                  <m:r>
                    <m:t>F</m:t>
                  </m:r>
                </m:e>
              </m:acc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rPr>
                          <m:sty m:val="p"/>
                        </m:rPr>
                        <m:t>(</m:t>
                      </m:r>
                      <m:r>
                        <m:t>i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≥</m:t>
              </m:r>
              <m:f>
                <m:fPr>
                  <m:type m:val="bar"/>
                </m:fPr>
                <m:num>
                  <m:r>
                    <m:t>i</m:t>
                  </m:r>
                </m:num>
                <m:den>
                  <m:r>
                    <m:t>n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(at least </m:t>
              </m:r>
              <m:r>
                <m:t>i</m:t>
              </m:r>
              <m:r>
                <m:rPr>
                  <m:nor/>
                  <m:sty m:val="p"/>
                </m:rPr>
                <m:t> indicators equal 1)</m:t>
              </m:r>
            </m:e>
            <m:e>
              <m:r>
                <m:t>&amp;</m:t>
              </m:r>
              <m:r>
                <m:rPr>
                  <m:sty m:val="p"/>
                </m:rPr>
                <m:t>≥</m:t>
              </m:r>
              <m:r>
                <m:t>p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(choice of </m:t>
              </m:r>
              <m:r>
                <m:t>p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i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belongs to the set,</w:t>
      </w:r>
      <w:r>
        <w:t xml:space="preserve"> </w:t>
      </w:r>
      <w:r>
        <w:t xml:space="preserve">and it is the smallest member of the set,</w:t>
      </w:r>
      <w:r>
        <w:t xml:space="preserve"> </w:t>
      </w:r>
      <w:r>
        <w:t xml:space="preserve">because no smaller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belongs to it.</w:t>
      </w:r>
      <w:r>
        <w:t xml:space="preserve"> </w:t>
      </w:r>
      <w:r>
        <w:t xml:space="preserve">Therefore</w:t>
      </w:r>
      <w:r>
        <w:t xml:space="preserve"> </w:t>
      </w:r>
      <m:oMath>
        <m:acc>
          <m:accPr>
            <m:chr m:val="̂"/>
          </m:accPr>
          <m:e>
            <m:r>
              <m:t>Q</m:t>
            </m:r>
          </m:e>
        </m:acc>
        <m:r>
          <m:rPr>
            <m:sty m:val="p"/>
          </m:rPr>
          <m:t>(</m:t>
        </m:r>
        <m:r>
          <m:t>p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i</m:t>
            </m:r>
            <m:r>
              <m:rPr>
                <m:sty m:val="p"/>
              </m:rPr>
              <m:t>)</m:t>
            </m:r>
          </m:sub>
        </m:sSub>
      </m:oMath>
      <w:r>
        <w:t xml:space="preserve">.</w:t>
      </w:r>
    </w:p>
    <w:bookmarkStart w:id="26" w:name="exm-sample-quantile"/>
    <w:p>
      <w:pPr>
        <w:pStyle w:val="BodyText"/>
      </w:pPr>
      <w:r>
        <w:rPr>
          <w:b/>
          <w:bCs/>
        </w:rPr>
        <w:t xml:space="preserve">Example 4 (Numerical example: sample quantiles)</w:t>
      </w:r>
      <w:r>
        <w:t xml:space="preserve"> </w:t>
      </w:r>
      <w:r>
        <w:t xml:space="preserve">Using the same data</w:t>
      </w:r>
      <w:r>
        <w:t xml:space="preserve"> </w:t>
      </w:r>
      <m:oMath>
        <m:r>
          <m:t>4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7</m:t>
        </m:r>
        <m:r>
          <m:rPr>
            <m:sty m:val="p"/>
          </m:rPr>
          <m:t>,</m:t>
        </m:r>
        <m:r>
          <m:t>3</m:t>
        </m:r>
      </m:oMath>
      <w:r>
        <w:t xml:space="preserve">,</w:t>
      </w:r>
      <w:r>
        <w:t xml:space="preserve"> </w:t>
      </w:r>
      <w:r>
        <w:t xml:space="preserve">with order statistics</w:t>
      </w:r>
      <w:r>
        <w:t xml:space="preserve"> </w:t>
      </w:r>
      <m:oMath>
        <m:r>
          <m:t>1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,</m:t>
        </m:r>
        <m:r>
          <m:t>7</m:t>
        </m:r>
      </m:oMath>
      <w:r>
        <w:t xml:space="preserve">,</w:t>
      </w:r>
      <w:r>
        <w:t xml:space="preserve"> </w:t>
      </w:r>
      <w:hyperlink w:anchor="thm-sample-quantile-order-statistics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says the sample quantile function is a step function:</w:t>
      </w:r>
    </w:p>
    <w:p>
      <w:pPr>
        <w:pStyle w:val="Compact"/>
        <w:numPr>
          <w:ilvl w:val="0"/>
          <w:numId w:val="1002"/>
        </w:numPr>
      </w:pPr>
      <m:oMath>
        <m:acc>
          <m:accPr>
            <m:chr m:val="̂"/>
          </m:accPr>
          <m:e>
            <m:r>
              <m:t>Q</m:t>
            </m:r>
          </m:e>
        </m:acc>
        <m:r>
          <m:rPr>
            <m:sty m:val="p"/>
          </m:rPr>
          <m:t>(</m:t>
        </m:r>
        <m:r>
          <m:t>p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p</m:t>
        </m:r>
        <m:r>
          <m:rPr>
            <m:sty m:val="p"/>
          </m:rPr>
          <m:t>≤</m:t>
        </m:r>
        <m:r>
          <m:t>1</m:t>
        </m:r>
        <m:r>
          <m:rPr>
            <m:sty m:val="p"/>
          </m:rPr>
          <m:t>/</m:t>
        </m:r>
        <m:r>
          <m:t>4</m:t>
        </m:r>
      </m:oMath>
      <w:r>
        <w:t xml:space="preserve">;</w:t>
      </w:r>
    </w:p>
    <w:p>
      <w:pPr>
        <w:pStyle w:val="Compact"/>
        <w:numPr>
          <w:ilvl w:val="0"/>
          <w:numId w:val="1002"/>
        </w:numPr>
      </w:pPr>
      <m:oMath>
        <m:acc>
          <m:accPr>
            <m:chr m:val="̂"/>
          </m:accPr>
          <m:e>
            <m:r>
              <m:t>Q</m:t>
            </m:r>
          </m:e>
        </m:acc>
        <m:r>
          <m:rPr>
            <m:sty m:val="p"/>
          </m:rPr>
          <m:t>(</m:t>
        </m:r>
        <m:r>
          <m:t>p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4</m:t>
        </m:r>
        <m:r>
          <m:rPr>
            <m:sty m:val="p"/>
          </m:rPr>
          <m:t>&lt;</m:t>
        </m:r>
        <m:r>
          <m:t>p</m:t>
        </m:r>
        <m:r>
          <m:rPr>
            <m:sty m:val="p"/>
          </m:rPr>
          <m:t>≤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;</w:t>
      </w:r>
    </w:p>
    <w:p>
      <w:pPr>
        <w:pStyle w:val="Compact"/>
        <w:numPr>
          <w:ilvl w:val="0"/>
          <w:numId w:val="1002"/>
        </w:numPr>
      </w:pPr>
      <m:oMath>
        <m:acc>
          <m:accPr>
            <m:chr m:val="̂"/>
          </m:accPr>
          <m:e>
            <m:r>
              <m:t>Q</m:t>
            </m:r>
          </m:e>
        </m:acc>
        <m:r>
          <m:rPr>
            <m:sty m:val="p"/>
          </m:rPr>
          <m:t>(</m:t>
        </m:r>
        <m:r>
          <m:t>p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4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2</m:t>
        </m:r>
        <m:r>
          <m:rPr>
            <m:sty m:val="p"/>
          </m:rPr>
          <m:t>&lt;</m:t>
        </m:r>
        <m:r>
          <m:t>p</m:t>
        </m:r>
        <m:r>
          <m:rPr>
            <m:sty m:val="p"/>
          </m:rPr>
          <m:t>≤</m:t>
        </m:r>
        <m:r>
          <m:t>3</m:t>
        </m:r>
        <m:r>
          <m:rPr>
            <m:sty m:val="p"/>
          </m:rPr>
          <m:t>/</m:t>
        </m:r>
        <m:r>
          <m:t>4</m:t>
        </m:r>
      </m:oMath>
      <w:r>
        <w:t xml:space="preserve">;</w:t>
      </w:r>
    </w:p>
    <w:p>
      <w:pPr>
        <w:pStyle w:val="Compact"/>
        <w:numPr>
          <w:ilvl w:val="0"/>
          <w:numId w:val="1002"/>
        </w:numPr>
      </w:pPr>
      <m:oMath>
        <m:acc>
          <m:accPr>
            <m:chr m:val="̂"/>
          </m:accPr>
          <m:e>
            <m:r>
              <m:t>Q</m:t>
            </m:r>
          </m:e>
        </m:acc>
        <m:r>
          <m:rPr>
            <m:sty m:val="p"/>
          </m:rPr>
          <m:t>(</m:t>
        </m:r>
        <m:r>
          <m:t>p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7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3</m:t>
        </m:r>
        <m:r>
          <m:rPr>
            <m:sty m:val="p"/>
          </m:rPr>
          <m:t>/</m:t>
        </m:r>
        <m:r>
          <m:t>4</m:t>
        </m:r>
        <m:r>
          <m:rPr>
            <m:sty m:val="p"/>
          </m:rPr>
          <m:t>&lt;</m:t>
        </m:r>
        <m:r>
          <m:t>p</m:t>
        </m:r>
        <m:r>
          <m:rPr>
            <m:sty m:val="p"/>
          </m:rPr>
          <m:t>≤</m:t>
        </m:r>
        <m:r>
          <m:t>1</m:t>
        </m:r>
      </m:oMath>
      <w:r>
        <w:t xml:space="preserve">.</w:t>
      </w:r>
    </w:p>
    <w:p>
      <w:pPr>
        <w:pStyle w:val="FirstParagraph"/>
      </w:pPr>
      <w:r>
        <w:t xml:space="preserve">So</w:t>
      </w:r>
      <w:r>
        <w:t xml:space="preserve"> </w:t>
      </w:r>
      <m:oMath>
        <m:acc>
          <m:accPr>
            <m:chr m:val="̂"/>
          </m:accPr>
          <m:e>
            <m:r>
              <m:t>Q</m:t>
            </m:r>
          </m:e>
        </m:acc>
        <m:r>
          <m:rPr>
            <m:sty m:val="p"/>
          </m:rPr>
          <m:t>(</m:t>
        </m:r>
        <m:r>
          <m:t>0.5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̂"/>
          </m:accPr>
          <m:e>
            <m:r>
              <m:t>Q</m:t>
            </m:r>
          </m:e>
        </m:acc>
        <m:r>
          <m:rPr>
            <m:sty m:val="p"/>
          </m:rPr>
          <m:t>(</m:t>
        </m:r>
        <m:r>
          <m:t>0.9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7</m:t>
        </m:r>
      </m:oMath>
      <w:r>
        <w:t xml:space="preserve">.</w:t>
      </w:r>
      <w:r>
        <w:t xml:space="preserve"> </w:t>
      </w:r>
      <w:r>
        <w:t xml:space="preserve">R’s</w:t>
      </w:r>
      <w:r>
        <w:t xml:space="preserve"> </w:t>
      </w:r>
      <w:r>
        <w:rPr>
          <w:rStyle w:val="VerbatimChar"/>
        </w:rPr>
        <w:t xml:space="preserve">quantile()</w:t>
      </w:r>
      <w:r>
        <w:t xml:space="preserve"> </w:t>
      </w:r>
      <w:r>
        <w:t xml:space="preserve">function computes this definition when called with</w:t>
      </w:r>
      <w:r>
        <w:t xml:space="preserve"> </w:t>
      </w:r>
      <w:r>
        <w:rPr>
          <w:rStyle w:val="VerbatimChar"/>
        </w:rPr>
        <w:t xml:space="preserve">type = 1</w:t>
      </w:r>
      <w:r>
        <w:t xml:space="preserve">:</w:t>
      </w:r>
    </w:p>
    <w:p>
      <w:pPr>
        <w:pStyle w:val="SourceCode"/>
      </w:pPr>
      <w:r>
        <w:rPr>
          <w:rStyle w:val="FunctionTok"/>
        </w:rPr>
        <w:t xml:space="preserve">quantile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7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probs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0.9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type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50% 90% </w:t>
      </w:r>
      <w:r>
        <w:br/>
      </w:r>
      <w:r>
        <w:rPr>
          <w:rStyle w:val="CommentTok"/>
        </w:rPr>
        <w:t xml:space="preserve">#&gt;   3   7</w:t>
      </w:r>
    </w:p>
    <w:bookmarkEnd w:id="26"/>
    <w:bookmarkStart w:id="27" w:name="rem-quantile-conventions"/>
    <w:p>
      <w:pPr>
        <w:pStyle w:val="FirstParagraph"/>
      </w:pPr>
      <w:r>
        <w:rPr>
          <w:i/>
          <w:iCs/>
        </w:rPr>
        <w:t xml:space="preserve">Remark 1</w:t>
      </w:r>
      <w:r>
        <w:t xml:space="preserve"> (Quantile conventions). </w:t>
      </w:r>
      <w:r>
        <w:t xml:space="preserve">Other sources, and other software defaults, define sample quantiles differently,</w:t>
      </w:r>
      <w:r>
        <w:t xml:space="preserve"> </w:t>
      </w:r>
      <w:r>
        <w:t xml:space="preserve">mostly by interpolating between order statistics.</w:t>
      </w:r>
      <w:r>
        <w:t xml:space="preserve"> </w:t>
      </w:r>
      <w:r>
        <w:t xml:space="preserve">R’s</w:t>
      </w:r>
      <w:r>
        <w:t xml:space="preserve"> </w:t>
      </w:r>
      <w:r>
        <w:rPr>
          <w:rStyle w:val="VerbatimChar"/>
        </w:rPr>
        <w:t xml:space="preserve">quantile()</w:t>
      </w:r>
      <w:r>
        <w:t xml:space="preserve"> </w:t>
      </w:r>
      <w:r>
        <w:t xml:space="preserve">offers nine definitions through its</w:t>
      </w:r>
      <w:r>
        <w:t xml:space="preserve"> </w:t>
      </w:r>
      <w:r>
        <w:rPr>
          <w:rStyle w:val="VerbatimChar"/>
        </w:rPr>
        <w:t xml:space="preserve">type</w:t>
      </w:r>
      <w:r>
        <w:t xml:space="preserve"> </w:t>
      </w:r>
      <w:r>
        <w:t xml:space="preserve">argument,</w:t>
      </w:r>
      <w:r>
        <w:t xml:space="preserve"> </w:t>
      </w:r>
      <w:r>
        <w:t xml:space="preserve">and its default (</w:t>
      </w:r>
      <w:r>
        <w:rPr>
          <w:rStyle w:val="VerbatimChar"/>
        </w:rPr>
        <w:t xml:space="preserve">type = 7</w:t>
      </w:r>
      <w:r>
        <w:t xml:space="preserve">) interpolates,</w:t>
      </w:r>
      <w:r>
        <w:t xml:space="preserve"> </w:t>
      </w:r>
      <w:r>
        <w:t xml:space="preserve">so</w:t>
      </w:r>
      <w:r>
        <w:t xml:space="preserve"> </w:t>
      </w:r>
      <w:r>
        <w:rPr>
          <w:rStyle w:val="VerbatimChar"/>
        </w:rPr>
        <w:t xml:space="preserve">quantile(c(4, 1, 7, 3), 0.5)</w:t>
      </w:r>
      <w:r>
        <w:t xml:space="preserve"> </w:t>
      </w:r>
      <w:r>
        <w:t xml:space="preserve">returns 3.5, not 3.</w:t>
      </w:r>
      <w:r>
        <w:t xml:space="preserve"> </w:t>
      </w:r>
      <w:r>
        <w:t xml:space="preserve">The usual sample median is another interpolated quantile:</w:t>
      </w:r>
      <w:r>
        <w:t xml:space="preserve"> </w:t>
      </w:r>
      <w:r>
        <w:t xml:space="preserve">for an even number of observations,</w:t>
      </w:r>
      <w:r>
        <w:t xml:space="preserve"> </w:t>
      </w:r>
      <w:r>
        <w:t xml:space="preserve">it averages the two middle order statistics.</w:t>
      </w:r>
      <w:r>
        <w:t xml:space="preserve"> </w:t>
      </w:r>
      <w:r>
        <w:t xml:space="preserve">These notes use</w:t>
      </w:r>
      <w:r>
        <w:t xml:space="preserve"> </w:t>
      </w:r>
      <w:hyperlink w:anchor="def-sample-quantile">
        <w:r>
          <w:rPr>
            <w:rStyle w:val="Hyperlink"/>
          </w:rPr>
          <w:t xml:space="preserve">Definition 4</w:t>
        </w:r>
      </w:hyperlink>
      <w:r>
        <w:t xml:space="preserve">,</w:t>
      </w:r>
      <w:r>
        <w:t xml:space="preserve"> </w:t>
      </w:r>
      <w:r>
        <w:t xml:space="preserve">which always returns one of the observed values.</w:t>
      </w:r>
    </w:p>
    <w:bookmarkEnd w:id="27"/>
    <w:p>
      <w:pPr>
        <w:pStyle w:val="BodyText"/>
      </w:pPr>
      <w:r>
        <w:t xml:space="preserve">Hogg et al. (2019, sec. 7.5, pp. 337–343)</w:t>
      </w:r>
      <w:r>
        <w:t xml:space="preserve"> </w:t>
      </w:r>
      <w:r>
        <w:t xml:space="preserve">covers distribution-free confidence intervals for percentiles.</w:t>
      </w:r>
    </w:p>
    <w:bookmarkEnd w:id="28"/>
    <w:bookmarkStart w:id="38" w:name="X098afd29d2cc0af81e1daaf31ade1d91d7df2a7"/>
    <w:p>
      <w:pPr>
        <w:pStyle w:val="Heading2"/>
      </w:pPr>
      <w:r>
        <w:t xml:space="preserve">5 The empirical CDF and quantile function as generalized inverses</w:t>
      </w:r>
    </w:p>
    <w:bookmarkStart w:id="37" w:name="fig-ecdf-sample-quantile-example"/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3880"/>
        <w:gridCol w:w="3880"/>
      </w:tblGrid>
      <w:tr>
        <w:tc>
          <w:tcPr/>
          <w:tbl>
            <w:tblPr>
              <w:tblStyle w:val="Table"/>
              <w:tblW w:type="pct" w:w="4900"/>
              <w:tblLayout w:type="fixed"/>
              <w:tblLook w:firstRow="0" w:lastRow="0" w:firstColumn="0" w:lastColumn="0" w:noHBand="0" w:noVBand="0" w:val="0000"/>
            </w:tblPr>
            <w:tblGrid>
              <w:gridCol w:w="7761"/>
            </w:tblGrid>
            <w:tr>
              <w:tc>
                <w:tcPr/>
                <w:bookmarkStart w:id="32" w:name="fig-ecdf-example"/>
                <w:p>
                  <w:pPr>
                    <w:pStyle w:val="SourceCode"/>
                    <w:jc w:val="center"/>
                    <w:jc w:val="left"/>
                  </w:pPr>
                  <w:r>
                    <w:rPr>
                      <w:rStyle w:val="NormalTok"/>
                    </w:rPr>
                    <w:t xml:space="preserve">x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DecValTok"/>
                    </w:rPr>
                    <w:t xml:space="preserve">4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DecValTok"/>
                    </w:rPr>
                    <w:t xml:space="preserve">7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DecValTok"/>
                    </w:rPr>
                    <w:t xml:space="preserve">3</w:t>
                  </w:r>
                  <w:r>
                    <w:rPr>
                      <w:rStyle w:val="NormalTok"/>
                    </w:rPr>
                    <w:t xml:space="preserve">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n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length</w:t>
                  </w:r>
                  <w:r>
                    <w:rPr>
                      <w:rStyle w:val="NormalTok"/>
                    </w:rPr>
                    <w:t xml:space="preserve">(x)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x_ord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sort</w:t>
                  </w:r>
                  <w:r>
                    <w:rPr>
                      <w:rStyle w:val="NormalTok"/>
                    </w:rPr>
                    <w:t xml:space="preserve">(x)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p_ord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seq_len</w:t>
                  </w:r>
                  <w:r>
                    <w:rPr>
                      <w:rStyle w:val="NormalTok"/>
                    </w:rPr>
                    <w:t xml:space="preserve">(n) </w:t>
                  </w:r>
                  <w:r>
                    <w:rPr>
                      <w:rStyle w:val="SpecialCharTok"/>
                    </w:rPr>
                    <w:t xml:space="preserve">/</w:t>
                  </w:r>
                  <w:r>
                    <w:rPr>
                      <w:rStyle w:val="NormalTok"/>
                    </w:rPr>
                    <w:t xml:space="preserve"> n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ecdf_x_padding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loatTok"/>
                    </w:rPr>
                    <w:t xml:space="preserve">0.8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x_min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min</w:t>
                  </w:r>
                  <w:r>
                    <w:rPr>
                      <w:rStyle w:val="NormalTok"/>
                    </w:rPr>
                    <w:t xml:space="preserve">(x_ord) </w:t>
                  </w:r>
                  <w:r>
                    <w:rPr>
                      <w:rStyle w:val="SpecialCharTok"/>
                    </w:rPr>
                    <w:t xml:space="preserve">-</w:t>
                  </w:r>
                  <w:r>
                    <w:rPr>
                      <w:rStyle w:val="NormalTok"/>
                    </w:rPr>
                    <w:t xml:space="preserve"> ecdf_x_padding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x_max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max</w:t>
                  </w:r>
                  <w:r>
                    <w:rPr>
                      <w:rStyle w:val="NormalTok"/>
                    </w:rPr>
                    <w:t xml:space="preserve">(x_ord)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rPr>
                      <w:rStyle w:val="NormalTok"/>
                    </w:rPr>
                    <w:t xml:space="preserve"> ecdf_x_padding</w:t>
                  </w:r>
                  <w:r>
                    <w:br/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x_left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(x_min, x_ord)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x_right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(x_ord, x_max)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f_levels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DecValTok"/>
                    </w:rPr>
                    <w:t xml:space="preserve">0</w:t>
                  </w:r>
                  <w:r>
                    <w:rPr>
                      <w:rStyle w:val="NormalTok"/>
                    </w:rPr>
                    <w:t xml:space="preserve">, p_ord)</w:t>
                  </w:r>
                  <w:r>
                    <w:br/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ecdf_pieces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tibble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tibble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x_left, </w:t>
                  </w:r>
                  <w:r>
                    <w:rPr>
                      <w:rStyle w:val="AttributeTok"/>
                    </w:rPr>
                    <w:t xml:space="preserve">xend =</w:t>
                  </w:r>
                  <w:r>
                    <w:rPr>
                      <w:rStyle w:val="NormalTok"/>
                    </w:rPr>
                    <w:t xml:space="preserve"> x_right,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f_levels)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ecdf_open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tibble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tibble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x_ord,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f_levels[</w:t>
                  </w:r>
                  <w:r>
                    <w:rPr>
                      <w:rStyle w:val="FunctionTok"/>
                    </w:rPr>
                    <w:t xml:space="preserve">seq_len</w:t>
                  </w:r>
                  <w:r>
                    <w:rPr>
                      <w:rStyle w:val="NormalTok"/>
                    </w:rPr>
                    <w:t xml:space="preserve">(n)])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ecdf_closed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tibble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tibble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x_ord,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f_levels[</w:t>
                  </w:r>
                  <w:r>
                    <w:rPr>
                      <w:rStyle w:val="FunctionTok"/>
                    </w:rPr>
                    <w:t xml:space="preserve">seq_len</w:t>
                  </w:r>
                  <w:r>
                    <w:rPr>
                      <w:rStyle w:val="NormalTok"/>
                    </w:rPr>
                    <w:t xml:space="preserve">(n)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])</w:t>
                  </w:r>
                  <w:r>
                    <w:br/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ggplot</w:t>
                  </w:r>
                  <w:r>
                    <w:rPr>
                      <w:rStyle w:val="NormalTok"/>
                    </w:rPr>
                    <w:t xml:space="preserve">()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geom_segment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x, </w:t>
                  </w:r>
                  <w:r>
                    <w:rPr>
                      <w:rStyle w:val="AttributeTok"/>
                    </w:rPr>
                    <w:t xml:space="preserve">xend =</w:t>
                  </w:r>
                  <w:r>
                    <w:rPr>
                      <w:rStyle w:val="NormalTok"/>
                    </w:rPr>
                    <w:t xml:space="preserve"> xend,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y, </w:t>
                  </w:r>
                  <w:r>
                    <w:rPr>
                      <w:rStyle w:val="AttributeTok"/>
                    </w:rPr>
                    <w:t xml:space="preserve">yend =</w:t>
                  </w:r>
                  <w:r>
                    <w:rPr>
                      <w:rStyle w:val="NormalTok"/>
                    </w:rPr>
                    <w:t xml:space="preserve"> y),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data =</w:t>
                  </w:r>
                  <w:r>
                    <w:rPr>
                      <w:rStyle w:val="NormalTok"/>
                    </w:rPr>
                    <w:t xml:space="preserve"> ecdf_pieces, </w:t>
                  </w:r>
                  <w:r>
                    <w:rPr>
                      <w:rStyle w:val="AttributeTok"/>
                    </w:rPr>
                    <w:t xml:space="preserve">linewidth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"blue"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geom_point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y), </w:t>
                  </w:r>
                  <w:r>
                    <w:rPr>
                      <w:rStyle w:val="AttributeTok"/>
                    </w:rPr>
                    <w:t xml:space="preserve">data =</w:t>
                  </w:r>
                  <w:r>
                    <w:rPr>
                      <w:rStyle w:val="NormalTok"/>
                    </w:rPr>
                    <w:t xml:space="preserve"> ecdf_open, </w:t>
                  </w:r>
                  <w:r>
                    <w:rPr>
                      <w:rStyle w:val="AttributeTok"/>
                    </w:rPr>
                    <w:t xml:space="preserve">shape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"blue"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geom_point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y), </w:t>
                  </w:r>
                  <w:r>
                    <w:rPr>
                      <w:rStyle w:val="AttributeTok"/>
                    </w:rPr>
                    <w:t xml:space="preserve">data =</w:t>
                  </w:r>
                  <w:r>
                    <w:rPr>
                      <w:rStyle w:val="NormalTok"/>
                    </w:rPr>
                    <w:t xml:space="preserve"> ecdf_closed, </w:t>
                  </w:r>
                  <w:r>
                    <w:rPr>
                      <w:rStyle w:val="AttributeTok"/>
                    </w:rPr>
                    <w:t xml:space="preserve">shape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19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"blue"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coord_cartesian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xlim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(x_min, x_max), </w:t>
                  </w:r>
                  <w:r>
                    <w:rPr>
                      <w:rStyle w:val="AttributeTok"/>
                    </w:rPr>
                    <w:t xml:space="preserve">ylim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DecValTok"/>
                    </w:rPr>
                    <w:t xml:space="preserve">0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FloatTok"/>
                    </w:rPr>
                    <w:t xml:space="preserve">1.05</w:t>
                  </w:r>
                  <w:r>
                    <w:rPr>
                      <w:rStyle w:val="NormalTok"/>
                    </w:rPr>
                    <w:t xml:space="preserve">))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labs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"t"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expression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FunctionTok"/>
                    </w:rPr>
                    <w:t xml:space="preserve">hat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FunctionTok"/>
                    </w:rPr>
                    <w:t xml:space="preserve">plain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tringTok"/>
                    </w:rPr>
                    <w:t xml:space="preserve">"F"</w:t>
                  </w:r>
                  <w:r>
                    <w:rPr>
                      <w:rStyle w:val="NormalTok"/>
                    </w:rPr>
                    <w:t xml:space="preserve">))(t)))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theme_minimal</w:t>
                  </w:r>
                  <w:r>
                    <w:rPr>
                      <w:rStyle w:val="NormalTok"/>
                    </w:rPr>
                    <w:t xml:space="preserve">()</w:t>
                  </w:r>
                </w:p>
                <w:p>
                  <w:pPr>
                    <w:jc w:val="center"/>
                    <w:jc w:val="left"/>
                  </w:pPr>
                  <w:r>
                    <w:drawing>
                      <wp:inline>
                        <wp:extent cx="2971800" cy="2377440"/>
                        <wp:effectExtent b="0" l="0" r="0" t="0"/>
                        <wp:docPr descr="" title="" id="30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nonparametric-models_files/figure-docx/unnamed-chunk-2-1.png" id="31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29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971800" cy="23774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  <w:jc w:val="left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(a) Empirical CDF, horizontal pieces only.</w:t>
                  </w:r>
                  <w:r>
                    <w:t xml:space="preserve"> </w:t>
                  </w:r>
                  <w:r>
                    <w:t xml:space="preserve">Closed circles mark included endpoints;</w:t>
                  </w:r>
                  <w:r>
                    <w:t xml:space="preserve"> </w:t>
                  </w:r>
                  <w:r>
                    <w:t xml:space="preserve">open circles mark excluded endpoints.</w:t>
                  </w:r>
                </w:p>
                <w:bookmarkEnd w:id="32"/>
              </w:tc>
            </w:tr>
          </w:tbl>
          <w:p/>
        </w:tc>
        <w:tc>
          <w:tcPr/>
          <w:p>
            <w:pPr>
              <w:jc w:val="left"/>
            </w:pPr>
            <w:r>
              <w:t xml:space="preserve"> </w:t>
            </w:r>
          </w:p>
        </w:tc>
      </w:tr>
    </w:tbl>
    <w:p>
      <w:pPr>
        <w:framePr w:w="0" w:h="0" w:vAnchor="margin" w:hAnchor="margin" w:xAlign="right" w:yAlign="top"/>
      </w:pPr>
    </w:p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7761"/>
      </w:tblGrid>
      <w:tr>
        <w:tc>
          <w:tcPr/>
          <w:tbl>
            <w:tblPr>
              <w:tblStyle w:val="Table"/>
              <w:tblW w:type="pct" w:w="4900"/>
              <w:tblLayout w:type="fixed"/>
              <w:tblLook w:firstRow="0" w:lastRow="0" w:firstColumn="0" w:lastColumn="0" w:noHBand="0" w:noVBand="0" w:val="0000"/>
            </w:tblPr>
            <w:tblGrid>
              <w:gridCol w:w="7761"/>
            </w:tblGrid>
            <w:tr>
              <w:tc>
                <w:tcPr/>
                <w:bookmarkStart w:id="36" w:name="fig-eqf-example"/>
                <w:p>
                  <w:pPr>
                    <w:pStyle w:val="SourceCode"/>
                    <w:jc w:val="center"/>
                    <w:jc w:val="left"/>
                  </w:pPr>
                  <w:r>
                    <w:rPr>
                      <w:rStyle w:val="NormalTok"/>
                    </w:rPr>
                    <w:t xml:space="preserve">eqf_y_padding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loatTok"/>
                    </w:rPr>
                    <w:t xml:space="preserve">0.5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q_left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DecValTok"/>
                    </w:rPr>
                    <w:t xml:space="preserve">0</w:t>
                  </w:r>
                  <w:r>
                    <w:rPr>
                      <w:rStyle w:val="NormalTok"/>
                    </w:rPr>
                    <w:t xml:space="preserve">, p_ord[</w:t>
                  </w:r>
                  <w:r>
                    <w:rPr>
                      <w:rStyle w:val="SpecialCharTok"/>
                    </w:rPr>
                    <w:t xml:space="preserve">-</w:t>
                  </w:r>
                  <w:r>
                    <w:rPr>
                      <w:rStyle w:val="NormalTok"/>
                    </w:rPr>
                    <w:t xml:space="preserve">n])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q_right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p_ord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eqf_pieces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tibble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tibble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q_left, </w:t>
                  </w:r>
                  <w:r>
                    <w:rPr>
                      <w:rStyle w:val="AttributeTok"/>
                    </w:rPr>
                    <w:t xml:space="preserve">xend =</w:t>
                  </w:r>
                  <w:r>
                    <w:rPr>
                      <w:rStyle w:val="NormalTok"/>
                    </w:rPr>
                    <w:t xml:space="preserve"> q_right,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x_ord)</w:t>
                  </w:r>
                  <w:r>
                    <w:br/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ggplot</w:t>
                  </w:r>
                  <w:r>
                    <w:rPr>
                      <w:rStyle w:val="NormalTok"/>
                    </w:rPr>
                    <w:t xml:space="preserve">(eqf_pieces)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geom_segment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x, </w:t>
                  </w:r>
                  <w:r>
                    <w:rPr>
                      <w:rStyle w:val="AttributeTok"/>
                    </w:rPr>
                    <w:t xml:space="preserve">xend =</w:t>
                  </w:r>
                  <w:r>
                    <w:rPr>
                      <w:rStyle w:val="NormalTok"/>
                    </w:rPr>
                    <w:t xml:space="preserve"> xend,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y, </w:t>
                  </w:r>
                  <w:r>
                    <w:rPr>
                      <w:rStyle w:val="AttributeTok"/>
                    </w:rPr>
                    <w:t xml:space="preserve">yend =</w:t>
                  </w:r>
                  <w:r>
                    <w:rPr>
                      <w:rStyle w:val="NormalTok"/>
                    </w:rPr>
                    <w:t xml:space="preserve"> y),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linewidth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"blue"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geom_point</w:t>
                  </w:r>
                  <w:r>
                    <w:rPr>
                      <w:rStyle w:val="NormalTok"/>
                    </w:rPr>
                    <w:t xml:space="preserve">(ggplot2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y), </w:t>
                  </w:r>
                  <w:r>
                    <w:rPr>
                      <w:rStyle w:val="AttributeTok"/>
                    </w:rPr>
                    <w:t xml:space="preserve">shape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"blue"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geom_point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xend,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y), </w:t>
                  </w:r>
                  <w:r>
                    <w:rPr>
                      <w:rStyle w:val="AttributeTok"/>
                    </w:rPr>
                    <w:t xml:space="preserve">shape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19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"blue"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coord_cartesian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xlim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DecValTok"/>
                    </w:rPr>
                    <w:t xml:space="preserve">0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ylim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FunctionTok"/>
                    </w:rPr>
                    <w:t xml:space="preserve">min</w:t>
                  </w:r>
                  <w:r>
                    <w:rPr>
                      <w:rStyle w:val="NormalTok"/>
                    </w:rPr>
                    <w:t xml:space="preserve">(x_ord) </w:t>
                  </w:r>
                  <w:r>
                    <w:rPr>
                      <w:rStyle w:val="SpecialCharTok"/>
                    </w:rPr>
                    <w:t xml:space="preserve">-</w:t>
                  </w:r>
                  <w:r>
                    <w:rPr>
                      <w:rStyle w:val="NormalTok"/>
                    </w:rPr>
                    <w:t xml:space="preserve"> eqf_y_padding, </w:t>
                  </w:r>
                  <w:r>
                    <w:rPr>
                      <w:rStyle w:val="FunctionTok"/>
                    </w:rPr>
                    <w:t xml:space="preserve">max</w:t>
                  </w:r>
                  <w:r>
                    <w:rPr>
                      <w:rStyle w:val="NormalTok"/>
                    </w:rPr>
                    <w:t xml:space="preserve">(x_ord)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rPr>
                      <w:rStyle w:val="NormalTok"/>
                    </w:rPr>
                    <w:t xml:space="preserve"> eqf_y_padding)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labs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"p"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expression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FunctionTok"/>
                    </w:rPr>
                    <w:t xml:space="preserve">hat</w:t>
                  </w:r>
                  <w:r>
                    <w:rPr>
                      <w:rStyle w:val="NormalTok"/>
                    </w:rPr>
                    <w:t xml:space="preserve">(Q)(p)))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theme_minimal</w:t>
                  </w:r>
                  <w:r>
                    <w:rPr>
                      <w:rStyle w:val="NormalTok"/>
                    </w:rPr>
                    <w:t xml:space="preserve">()</w:t>
                  </w:r>
                </w:p>
                <w:p>
                  <w:pPr>
                    <w:jc w:val="center"/>
                    <w:jc w:val="left"/>
                  </w:pPr>
                  <w:r>
                    <w:drawing>
                      <wp:inline>
                        <wp:extent cx="2971800" cy="2377440"/>
                        <wp:effectExtent b="0" l="0" r="0" t="0"/>
                        <wp:docPr descr="" title="" id="34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nonparametric-models_files/figure-docx/unnamed-chunk-3-1.png" id="35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33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971800" cy="23774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  <w:jc w:val="left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(b) Sample quantile function, horizontal pieces only.</w:t>
                  </w:r>
                  <w:r>
                    <w:t xml:space="preserve"> </w:t>
                  </w:r>
                  <w:r>
                    <w:t xml:space="preserve">Open circles mark excluded left endpoints;</w:t>
                  </w:r>
                  <w:r>
                    <w:t xml:space="preserve"> </w:t>
                  </w:r>
                  <w:r>
                    <w:t xml:space="preserve">closed circles mark included right endpoints.</w:t>
                  </w:r>
                </w:p>
                <w:bookmarkEnd w:id="36"/>
              </w:tc>
            </w:tr>
          </w:tbl>
          <w:p/>
        </w:tc>
      </w:tr>
    </w:tbl>
    <w:p>
      <w:pPr>
        <w:pStyle w:val="BodyText"/>
      </w:pPr>
      <w:pPr>
        <w:spacing w:before="200"/>
        <w:pStyle w:val="ImageCaption"/>
      </w:pPr>
      <w:r>
        <w:t xml:space="preserve">Figure 1: The empirical CDF and the sample quantile function</w:t>
      </w:r>
      <w:r>
        <w:t xml:space="preserve"> </w:t>
      </w:r>
      <w:r>
        <w:t xml:space="preserve">for the data 4, 1, 7, 3</w:t>
      </w:r>
      <w:r>
        <w:t xml:space="preserve"> </w:t>
      </w:r>
      <w:r>
        <w:t xml:space="preserve">(order statistics 1, 3, 4, 7).</w:t>
      </w:r>
    </w:p>
    <w:bookmarkEnd w:id="37"/>
    <w:p>
      <w:pPr>
        <w:pStyle w:val="BodyText"/>
      </w:pPr>
      <w:r>
        <w:t xml:space="preserve">Both functions in</w:t>
      </w:r>
      <w:r>
        <w:t xml:space="preserve"> </w:t>
      </w:r>
      <w:hyperlink w:anchor="fig-ecdf-sample-quantile-example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are step functions,</w:t>
      </w:r>
      <w:r>
        <w:t xml:space="preserve"> </w:t>
      </w:r>
      <w:r>
        <w:t xml:space="preserve">so neither is one-to-one.</w:t>
      </w:r>
      <w:r>
        <w:t xml:space="preserve"> </w:t>
      </w:r>
      <w:r>
        <w:t xml:space="preserve">Each flat piece of one function</w:t>
      </w:r>
      <w:r>
        <w:t xml:space="preserve"> </w:t>
      </w:r>
      <w:r>
        <w:t xml:space="preserve">corresponds to a jump of the other:</w:t>
      </w:r>
      <w:r>
        <w:t xml:space="preserve"> </w:t>
      </w:r>
      <w:r>
        <w:t xml:space="preserve">for example,</w:t>
      </w:r>
      <w:r>
        <w:t xml:space="preserve"> </w:t>
      </w:r>
      <m:oMath>
        <m:acc>
          <m:accPr>
            <m:chr m:val="̂"/>
          </m:accPr>
          <m:e>
            <m:r>
              <m:t>F</m:t>
            </m:r>
          </m:e>
        </m:acc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0.5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3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̂"/>
          </m:accPr>
          <m:e>
            <m:r>
              <m:t>Q</m:t>
            </m:r>
          </m:e>
        </m:acc>
      </m:oMath>
      <w:r>
        <w:t xml:space="preserve"> </w:t>
      </w:r>
      <w:r>
        <w:t xml:space="preserve">jumps from 3 to 4 at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0.5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acc>
          <m:accPr>
            <m:chr m:val="̂"/>
          </m:accPr>
          <m:e>
            <m:r>
              <m:t>Q</m:t>
            </m:r>
          </m:e>
        </m:acc>
      </m:oMath>
      <w:r>
        <w:t xml:space="preserve"> </w:t>
      </w:r>
      <w:r>
        <w:t xml:space="preserve">is a</w:t>
      </w:r>
      <w:r>
        <w:t xml:space="preserve"> </w:t>
      </w:r>
      <w:r>
        <w:rPr>
          <w:i/>
          <w:iCs/>
        </w:rPr>
        <w:t xml:space="preserve">generalized</w:t>
      </w:r>
      <w:r>
        <w:t xml:space="preserve"> </w:t>
      </w:r>
      <w:r>
        <w:t xml:space="preserve">inverse of</w:t>
      </w:r>
      <w:r>
        <w:t xml:space="preserve"> </w:t>
      </w:r>
      <m:oMath>
        <m:acc>
          <m:accPr>
            <m:chr m:val="̂"/>
          </m:accPr>
          <m:e>
            <m:r>
              <m:t>F</m:t>
            </m:r>
          </m:e>
        </m:acc>
      </m:oMath>
      <w:r>
        <w:t xml:space="preserve">,</w:t>
      </w:r>
      <w:r>
        <w:t xml:space="preserve"> </w:t>
      </w:r>
      <w:r>
        <w:t xml:space="preserve">not an inverse in the usual sense:</w:t>
      </w:r>
      <w:r>
        <w:t xml:space="preserve"> </w:t>
      </w:r>
      <m:oMath>
        <m:acc>
          <m:accPr>
            <m:chr m:val="̂"/>
          </m:accPr>
          <m:e>
            <m:r>
              <m:t>Q</m:t>
            </m:r>
          </m:e>
        </m:acc>
        <m:r>
          <m:rPr>
            <m:sty m:val="p"/>
          </m:rPr>
          <m:t>(</m:t>
        </m:r>
        <m:acc>
          <m:accPr>
            <m:chr m:val="̂"/>
          </m:accPr>
          <m:e>
            <m:r>
              <m:t>F</m:t>
            </m:r>
          </m:e>
        </m:acc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)</m:t>
        </m:r>
        <m:r>
          <m:rPr>
            <m:sty m:val="p"/>
          </m:rPr>
          <m:t>≤</m:t>
        </m:r>
        <m:r>
          <m:t>t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</m:oMath>
      <w:r>
        <w:t xml:space="preserve">,</w:t>
      </w:r>
      <w:r>
        <w:t xml:space="preserve"> </w:t>
      </w:r>
      <w:r>
        <w:t xml:space="preserve">with equality only at the observed values.</w:t>
      </w:r>
    </w:p>
    <w:p>
      <w:pPr>
        <w:pStyle w:val="BodyText"/>
      </w:pPr>
      <w:r>
        <w:t xml:space="preserve">These readings look ahead from the empirical CDF to distribution-free tests, which this page does not cover:</w:t>
      </w:r>
    </w:p>
    <w:p>
      <w:pPr>
        <w:pStyle w:val="Compact"/>
        <w:numPr>
          <w:ilvl w:val="0"/>
          <w:numId w:val="1003"/>
        </w:numPr>
      </w:pPr>
      <w:r>
        <w:t xml:space="preserve">Hogg et al. (2019, sec. 8.5, pp. 392–402)</w:t>
      </w:r>
      <w:r>
        <w:t xml:space="preserve"> </w:t>
      </w:r>
      <w:r>
        <w:t xml:space="preserve">covers some distribution-free tests.</w:t>
      </w:r>
    </w:p>
    <w:p>
      <w:pPr>
        <w:pStyle w:val="Compact"/>
        <w:numPr>
          <w:ilvl w:val="0"/>
          <w:numId w:val="1003"/>
        </w:numPr>
      </w:pPr>
      <w:r>
        <w:t xml:space="preserve">Rice (2007, sec. 11.2.3, pp. 435–442)</w:t>
      </w:r>
      <w:r>
        <w:t xml:space="preserve"> </w:t>
      </w:r>
      <w:r>
        <w:t xml:space="preserve">covers the Mann–Whitney test.</w:t>
      </w:r>
    </w:p>
    <w:p>
      <w:pPr>
        <w:pStyle w:val="Compact"/>
        <w:numPr>
          <w:ilvl w:val="0"/>
          <w:numId w:val="1003"/>
        </w:numPr>
      </w:pPr>
      <w:r>
        <w:t xml:space="preserve">Rice (2007, sec. 11.3.2, pp. 448–449)</w:t>
      </w:r>
      <w:r>
        <w:t xml:space="preserve"> </w:t>
      </w:r>
      <w:r>
        <w:t xml:space="preserve">covers the signed rank test.</w:t>
      </w:r>
    </w:p>
    <w:p>
      <w:pPr>
        <w:pStyle w:val="Compact"/>
        <w:numPr>
          <w:ilvl w:val="0"/>
          <w:numId w:val="1003"/>
        </w:numPr>
      </w:pPr>
      <w:r>
        <w:t xml:space="preserve">Rice (2007, sec. 12.2.3, p. 488)</w:t>
      </w:r>
      <w:r>
        <w:t xml:space="preserve"> </w:t>
      </w:r>
      <w:r>
        <w:t xml:space="preserve">covers the Kruskal–Wallis test.</w:t>
      </w:r>
    </w:p>
    <w:bookmarkEnd w:id="38"/>
    <w:bookmarkStart w:id="48" w:name="references"/>
    <w:p>
      <w:pPr>
        <w:pStyle w:val="Heading2"/>
      </w:pPr>
      <w:r>
        <w:t xml:space="preserve">References</w:t>
      </w:r>
    </w:p>
    <w:bookmarkStart w:id="47" w:name="refs"/>
    <w:bookmarkStart w:id="40" w:name="ref-CaseBerg01"/>
    <w:p>
      <w:pPr>
        <w:pStyle w:val="Bibliography"/>
      </w:pPr>
      <w:r>
        <w:t xml:space="preserve">Casella, George, and Roger Berger. 2002.</w:t>
      </w:r>
      <w:r>
        <w:t xml:space="preserve"> </w:t>
      </w:r>
      <w:r>
        <w:rPr>
          <w:i/>
          <w:iCs/>
        </w:rPr>
        <w:t xml:space="preserve">Statistical Inference</w:t>
      </w:r>
      <w:r>
        <w:t xml:space="preserve">. 2nd ed. Cengage Learning.</w:t>
      </w:r>
      <w:r>
        <w:t xml:space="preserve"> </w:t>
      </w:r>
      <w:hyperlink r:id="rId39">
        <w:r>
          <w:rPr>
            <w:rStyle w:val="Hyperlink"/>
          </w:rPr>
          <w:t xml:space="preserve">https://www.cengage.com/c/statistical-inference-2e-casella-berger/9780534243128/</w:t>
        </w:r>
      </w:hyperlink>
      <w:r>
        <w:t xml:space="preserve">.</w:t>
      </w:r>
    </w:p>
    <w:bookmarkEnd w:id="40"/>
    <w:bookmarkStart w:id="42" w:name="ref-efron1993introduction"/>
    <w:p>
      <w:pPr>
        <w:pStyle w:val="Bibliography"/>
      </w:pPr>
      <w:r>
        <w:t xml:space="preserve">Efron, Bradley, and Robert J. Tibshirani. 1993.</w:t>
      </w:r>
      <w:r>
        <w:t xml:space="preserve"> </w:t>
      </w:r>
      <w:r>
        <w:rPr>
          <w:i/>
          <w:iCs/>
        </w:rPr>
        <w:t xml:space="preserve">An Introduction to the Bootstrap</w:t>
      </w:r>
      <w:r>
        <w:t xml:space="preserve">. Monographs on Statistics and Applied Probability 57. Chapman &amp; Hall/CRC.</w:t>
      </w:r>
      <w:r>
        <w:t xml:space="preserve"> </w:t>
      </w:r>
      <w:hyperlink r:id="rId41">
        <w:r>
          <w:rPr>
            <w:rStyle w:val="Hyperlink"/>
          </w:rPr>
          <w:t xml:space="preserve">https://doi.org/10.1201/9780429246593</w:t>
        </w:r>
      </w:hyperlink>
      <w:r>
        <w:t xml:space="preserve">.</w:t>
      </w:r>
    </w:p>
    <w:bookmarkEnd w:id="42"/>
    <w:bookmarkStart w:id="44" w:name="ref-hastie2009elements"/>
    <w:p>
      <w:pPr>
        <w:pStyle w:val="Bibliography"/>
      </w:pPr>
      <w:r>
        <w:t xml:space="preserve">Hastie, Trevor, Robert Tibshirani, and Jerome Friedman. 2009.</w:t>
      </w:r>
      <w:r>
        <w:t xml:space="preserve"> </w:t>
      </w:r>
      <w:r>
        <w:rPr>
          <w:i/>
          <w:iCs/>
        </w:rPr>
        <w:t xml:space="preserve">The Elements of Statistical Learning: Data Mining, Inference, and Prediction</w:t>
      </w:r>
      <w:r>
        <w:t xml:space="preserve">. 2nd ed. Springer.</w:t>
      </w:r>
      <w:r>
        <w:t xml:space="preserve"> </w:t>
      </w:r>
      <w:hyperlink r:id="rId43">
        <w:r>
          <w:rPr>
            <w:rStyle w:val="Hyperlink"/>
          </w:rPr>
          <w:t xml:space="preserve">https://doi.org/10.1007/978-0-387-84858-7</w:t>
        </w:r>
      </w:hyperlink>
      <w:r>
        <w:t xml:space="preserve">.</w:t>
      </w:r>
    </w:p>
    <w:bookmarkEnd w:id="44"/>
    <w:bookmarkStart w:id="45" w:name="ref-hoggtanis2015"/>
    <w:p>
      <w:pPr>
        <w:pStyle w:val="Bibliography"/>
      </w:pPr>
      <w:r>
        <w:t xml:space="preserve">Hogg, Robert V., Elliot A. Tanis, and Dale L. Zimmerman. 2019.</w:t>
      </w:r>
      <w:r>
        <w:t xml:space="preserve"> </w:t>
      </w:r>
      <w:r>
        <w:rPr>
          <w:i/>
          <w:iCs/>
        </w:rPr>
        <w:t xml:space="preserve">Probability and Statistical Inference</w:t>
      </w:r>
      <w:r>
        <w:t xml:space="preserve">. Tenth edition. Pearson.</w:t>
      </w:r>
    </w:p>
    <w:bookmarkEnd w:id="45"/>
    <w:bookmarkStart w:id="46" w:name="ref-rice2007mathematical"/>
    <w:p>
      <w:pPr>
        <w:pStyle w:val="Bibliography"/>
      </w:pPr>
      <w:r>
        <w:t xml:space="preserve">Rice, John A. 2007.</w:t>
      </w:r>
      <w:r>
        <w:t xml:space="preserve"> </w:t>
      </w:r>
      <w:r>
        <w:rPr>
          <w:i/>
          <w:iCs/>
        </w:rPr>
        <w:t xml:space="preserve">Mathematical Statistics and Data Analysis</w:t>
      </w:r>
      <w:r>
        <w:t xml:space="preserve">. 3rd ed. Cengage Learning.</w:t>
      </w:r>
    </w:p>
    <w:bookmarkEnd w:id="46"/>
    <w:bookmarkEnd w:id="47"/>
    <w:bookmarkEnd w:id="48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29" Target="media/rId29.png" /><Relationship Type="http://schemas.openxmlformats.org/officeDocument/2006/relationships/image" Id="rId33" Target="media/rId33.png" /><Relationship Type="http://schemas.openxmlformats.org/officeDocument/2006/relationships/hyperlink" Id="rId12" Target="exploratory-descriptive.qmd#def-population-distribution" TargetMode="External" /><Relationship Type="http://schemas.openxmlformats.org/officeDocument/2006/relationships/hyperlink" Id="rId13" Target="exploratory-descriptive.qmd#def-sample-mean" TargetMode="External" /><Relationship Type="http://schemas.openxmlformats.org/officeDocument/2006/relationships/hyperlink" Id="rId43" Target="https://doi.org/10.1007/978-0-387-84858-7" TargetMode="External" /><Relationship Type="http://schemas.openxmlformats.org/officeDocument/2006/relationships/hyperlink" Id="rId41" Target="https://doi.org/10.1201/9780429246593" TargetMode="External" /><Relationship Type="http://schemas.openxmlformats.org/officeDocument/2006/relationships/hyperlink" Id="rId9" Target="https://morrison-lab.github.io/pds/probability-basics.html#def-random-choice" TargetMode="External" /><Relationship Type="http://schemas.openxmlformats.org/officeDocument/2006/relationships/hyperlink" Id="rId15" Target="https://morrison-lab.github.io/pds/random-variables.html#def-cdf" TargetMode="External" /><Relationship Type="http://schemas.openxmlformats.org/officeDocument/2006/relationships/hyperlink" Id="rId24" Target="https://morrison-lab.github.io/pds/random-variables.html#def-quantile-function" TargetMode="External" /><Relationship Type="http://schemas.openxmlformats.org/officeDocument/2006/relationships/hyperlink" Id="rId39" Target="https://www.cengage.com/c/statistical-inference-2e-casella-berger/9780534243128/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2" Target="exploratory-descriptive.qmd#def-population-distribution" TargetMode="External" /><Relationship Type="http://schemas.openxmlformats.org/officeDocument/2006/relationships/hyperlink" Id="rId13" Target="exploratory-descriptive.qmd#def-sample-mean" TargetMode="External" /><Relationship Type="http://schemas.openxmlformats.org/officeDocument/2006/relationships/hyperlink" Id="rId43" Target="https://doi.org/10.1007/978-0-387-84858-7" TargetMode="External" /><Relationship Type="http://schemas.openxmlformats.org/officeDocument/2006/relationships/hyperlink" Id="rId41" Target="https://doi.org/10.1201/9780429246593" TargetMode="External" /><Relationship Type="http://schemas.openxmlformats.org/officeDocument/2006/relationships/hyperlink" Id="rId9" Target="https://morrison-lab.github.io/pds/probability-basics.html#def-random-choice" TargetMode="External" /><Relationship Type="http://schemas.openxmlformats.org/officeDocument/2006/relationships/hyperlink" Id="rId15" Target="https://morrison-lab.github.io/pds/random-variables.html#def-cdf" TargetMode="External" /><Relationship Type="http://schemas.openxmlformats.org/officeDocument/2006/relationships/hyperlink" Id="rId24" Target="https://morrison-lab.github.io/pds/random-variables.html#def-quantile-function" TargetMode="External" /><Relationship Type="http://schemas.openxmlformats.org/officeDocument/2006/relationships/hyperlink" Id="rId39" Target="https://www.cengage.com/c/statistical-inference-2e-casella-berger/9780534243128/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Nonparametric Models</dc:title>
  <dc:creator/>
  <cp:keywords/>
  <dcterms:created xsi:type="dcterms:W3CDTF">2026-10-16T14:17:25Z</dcterms:created>
  <dcterms:modified xsi:type="dcterms:W3CDTF">2026-10-16T14:17:25Z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2026-10-16 06:59:17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4</vt:lpwstr>
  </property>
  <property fmtid="{D5CDD505-2E9C-101B-9397-08002B2CF9AE}" pid="16" name="toc-title">
    <vt:lpwstr>Table of contents</vt:lpwstr>
  </property>
</Properties>
</file>