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2026-10-15 09:04:24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4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7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 (1922)</w:t>
            </w:r>
            <w:r>
              <w:t xml:space="preserve"> </w:t>
            </w:r>
            <w:r>
              <w:t xml:space="preserve">introduced sufficiency;</w:t>
            </w:r>
            <w:r>
              <w:t xml:space="preserve"> </w:t>
            </w:r>
            <w:r>
              <w:t xml:space="preserve">Casella and Berger (2002, Def. 6.2.1, p. 272)</w:t>
            </w:r>
            <w:r>
              <w:t xml:space="preserve">.</w:t>
            </w:r>
          </w:p>
          <w:p/>
        </w:tc>
      </w:tr>
    </w:tbl>
    <w:bookmarkEnd w:id="17"/>
    <w:bookmarkStart w:id="18" w:name="rem-sufficient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8"/>
    <w:bookmarkStart w:id="22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9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Halmos and Savage (1949)</w:t>
            </w:r>
            <w:r>
              <w:t xml:space="preserve">, whom</w:t>
            </w:r>
            <w:r>
              <w:t xml:space="preserve"> </w:t>
            </w:r>
            <w:r>
              <w:t xml:space="preserve">Casella and Berger (2002, Thm. 6.2.6, p. 276, and its footnote)</w:t>
            </w:r>
            <w:r>
              <w:t xml:space="preserve"> </w:t>
            </w:r>
            <w:r>
              <w:t xml:space="preserve">credit with the general form, and Neyman (1935) with an earlier one.</w:t>
            </w:r>
          </w:p>
          <w:p/>
        </w:tc>
      </w:tr>
    </w:tbl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23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3"/>
    <w:bookmarkEnd w:id="24"/>
    <w:bookmarkStart w:id="49" w:name="sec-rao-blackwell"/>
    <w:p>
      <w:pPr>
        <w:pStyle w:val="Heading2"/>
      </w:pPr>
      <w:r>
        <w:t xml:space="preserve">2 The Rao–Blackwell theorem</w:t>
      </w:r>
    </w:p>
    <w:bookmarkStart w:id="26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5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7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34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Blackwell (1947)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7.3.17, p. 342)</w:t>
            </w:r>
            <w:r>
              <w:t xml:space="preserve">.</w:t>
            </w:r>
          </w:p>
          <w:p/>
        </w:tc>
      </w:tr>
    </w:tbl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5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7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6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7"/>
    <w:bookmarkStart w:id="38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8"/>
    <w:bookmarkStart w:id="40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9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4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2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6"/>
        </w:tc>
      </w:tr>
    </w:tbl>
    <w:bookmarkEnd w:id="47"/>
    <w:bookmarkStart w:id="48" w:name="rem-rb-insufficient"/>
    <w:p>
      <w:pPr>
        <w:pStyle w:val="BodyText"/>
      </w:pPr>
      <w:r>
        <w:rPr>
          <w:i/>
          <w:iCs/>
        </w:rPr>
        <w:t xml:space="preserve">Remark 3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8"/>
    <w:bookmarkEnd w:id="49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1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50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51"/>
    <w:bookmarkStart w:id="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3"/>
    <w:bookmarkStart w:id="55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4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5"/>
    <w:bookmarkStart w:id="57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6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7"/>
    <w:bookmarkStart w:id="5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8"/>
    <w:bookmarkStart w:id="59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43" Target="media/rId43.png" /><Relationship Type="http://schemas.openxmlformats.org/officeDocument/2006/relationships/hyperlink" Id="rId42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41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0" Target="https://doi.org/10.1214/aoms/1177730497" TargetMode="External" /><Relationship Type="http://schemas.openxmlformats.org/officeDocument/2006/relationships/hyperlink" Id="rId36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35" Target="https://morrison-lab.github.io/pds/variance-covariance.html#thm-total-variance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41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0" Target="https://doi.org/10.1214/aoms/1177730497" TargetMode="External" /><Relationship Type="http://schemas.openxmlformats.org/officeDocument/2006/relationships/hyperlink" Id="rId36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35" Target="https://morrison-lab.github.io/pds/variance-covariance.html#thm-total-variance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2026-10-15T16:22:58Z</dcterms:created>
  <dcterms:modified xsi:type="dcterms:W3CDTF">2026-10-15T16:22:58Z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