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92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6" w:name="rem-mse-bias-variance-prediction"/>
    <w:p>
      <w:pPr>
        <w:pStyle w:val="BodyText"/>
      </w:pPr>
      <w:ins w:id="3" w:author="PR Preview" w:date="2026-01-01T00:00:00Z">
        <w:r>
          <w:rPr>
            <w:i/>
            <w:iCs/>
          </w:rPr>
          <w:t xml:space="preserve">Remark 3</w:t>
        </w:r>
      </w:ins>
      <w:ins w:id="4" w:author="PR Preview" w:date="2026-01-01T00:00:00Z">
        <w:r>
          <w:t xml:space="preserve"> (The same split for predictions). </w:t>
        </w:r>
      </w:ins>
      <w:hyperlink w:anchor="thm-mse-bias-variance">
        <w:ins w:id="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concerns an estimator of a parameter.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the squared error of a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i/>
            <w:iCs/>
          </w:rPr>
          <w:t xml:space="preserve">prediction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of a new outcome,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 probability notes prove the same split with one more term,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</w:t>
        </w:r>
      </w:ins>
      <w:ins w:id="18" w:author="PR Preview" w:date="2026-01-01T00:00:00Z">
        <w:r>
          <w:t xml:space="preserve"> </w:t>
        </w:r>
      </w:ins>
      <w:hyperlink r:id="rId84">
        <w:ins w:id="19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from the noise in that outcome:</w:t>
        </w:r>
      </w:ins>
      <w:ins w:id="22" w:author="PR Preview" w:date="2026-01-01T00:00:00Z">
        <w:r>
          <w:t xml:space="preserve"> </w:t>
        </w:r>
      </w:ins>
      <w:hyperlink r:id="rId85">
        <w:ins w:id="23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equals squared bias plus variance plus the noise variance.</w:t>
        </w:r>
      </w:ins>
    </w:p>
    <w:bookmarkEnd w:id="86"/>
    <w:bookmarkStart w:id="88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del w:id="26" w:author="PR Preview" w:date="2026-01-01T00:00:00Z">
        <w:r>
          <w:rPr>
            <w:i/>
            <w:iCs/>
          </w:rPr>
          <w:delText xml:space="preserve">Remark 3</w:delText>
        </w:r>
      </w:del>
      <w:del w:id="27" w:author="PR Preview" w:date="2026-01-01T00:00:00Z">
        <w:r>
          <w:delText xml:space="preserve"> (Units of the root mean squared error). </w:delText>
        </w:r>
      </w:del>
      <w:del w:id="28" w:author="PR Preview" w:date="2026-01-01T00:00:00Z">
        <w:r>
          <w:delText xml:space="preserve">The root mean squared error has the same units as the estimand.</w:delText>
        </w:r>
      </w:del>
    </w:p>
    <w:p>
      <w:pPr>
        <w:pStyle w:val="BodyText"/>
      </w:pPr>
      <w:ins w:id="29" w:author="PR Preview" w:date="2026-01-01T00:00:00Z">
        <w:r>
          <w:rPr>
            <w:i/>
            <w:iCs/>
          </w:rPr>
          <w:t xml:space="preserve">Remark 4</w:t>
        </w:r>
      </w:ins>
      <w:ins w:id="30" w:author="PR Preview" w:date="2026-01-01T00:00:00Z">
        <w:r>
          <w:t xml:space="preserve"> (Units of the root mean squared error). </w:t>
        </w:r>
      </w:ins>
      <w:ins w:id="31" w:author="PR Preview" w:date="2026-01-01T00:00:00Z">
        <w:r>
          <w:t xml:space="preserve">The root mean squared error has the same units as the estimand.</w:t>
        </w:r>
      </w:ins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del w:id="32" w:author="PR Preview" w:date="2026-01-01T00:00:00Z">
        <w:r>
          <w:rPr>
            <w:i/>
            <w:iCs/>
          </w:rPr>
          <w:delText xml:space="preserve">Remark 4</w:delText>
        </w:r>
      </w:del>
      <w:del w:id="33" w:author="PR Preview" w:date="2026-01-01T00:00:00Z">
        <w:r>
          <w:delText xml:space="preserve"> (The name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“standard error”</w:delText>
        </w:r>
      </w:del>
      <w:del w:id="36" w:author="PR Preview" w:date="2026-01-01T00:00:00Z">
        <w:r>
          <w:delText xml:space="preserve">). </w:delText>
        </w:r>
      </w:del>
      <w:del w:id="37" w:author="PR Preview" w:date="2026-01-01T00:00:00Z">
        <w:r>
          <w:delText xml:space="preserve">“Standard error”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a confusing name in two ways.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It is defined through the estimator’s own spread,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not through the</w:delText>
        </w:r>
      </w:del>
      <w:del w:id="44" w:author="PR Preview" w:date="2026-01-01T00:00:00Z">
        <w:r>
          <w:delText xml:space="preserve"> </w:delText>
        </w:r>
      </w:del>
      <w:hyperlink w:anchor="def-estimation-error">
        <w:del w:id="45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(although</w:delText>
        </w:r>
      </w:del>
      <w:del w:id="48" w:author="PR Preview" w:date="2026-01-01T00:00:00Z">
        <w:r>
          <w:delText xml:space="preserve"> </w:delText>
        </w:r>
      </w:del>
      <w:hyperlink w:anchor="thm-se-error-sd">
        <w:del w:id="4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shows that the two spreads are equal).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It is also a synonym for the standard deviation of an estimator,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so it can look redundant.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name persists because standard errors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are the building blocks of p-values and confidence intervals,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so they come up often enough to deserve their own name.</w:delText>
        </w:r>
      </w:del>
    </w:p>
    <w:p>
      <w:pPr>
        <w:pStyle w:val="BodyText"/>
      </w:pPr>
      <w:ins w:id="62" w:author="PR Preview" w:date="2026-01-01T00:00:00Z">
        <w:r>
          <w:rPr>
            <w:i/>
            <w:iCs/>
          </w:rPr>
          <w:t xml:space="preserve">Remark 5</w:t>
        </w:r>
      </w:ins>
      <w:ins w:id="63" w:author="PR Preview" w:date="2026-01-01T00:00:00Z">
        <w:r>
          <w:t xml:space="preserve"> (The name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“standard error”</w:t>
        </w:r>
      </w:ins>
      <w:ins w:id="66" w:author="PR Preview" w:date="2026-01-01T00:00:00Z">
        <w:r>
          <w:t xml:space="preserve">). </w:t>
        </w:r>
      </w:ins>
      <w:ins w:id="67" w:author="PR Preview" w:date="2026-01-01T00:00:00Z">
        <w:r>
          <w:t xml:space="preserve">“Standard error”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a confusing name in two ways.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It is defined through the estimator’s own spread,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not through the</w:t>
        </w:r>
      </w:ins>
      <w:ins w:id="74" w:author="PR Preview" w:date="2026-01-01T00:00:00Z">
        <w:r>
          <w:t xml:space="preserve"> </w:t>
        </w:r>
      </w:ins>
      <w:hyperlink w:anchor="def-estimation-error">
        <w:ins w:id="75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(although</w:t>
        </w:r>
      </w:ins>
      <w:ins w:id="78" w:author="PR Preview" w:date="2026-01-01T00:00:00Z">
        <w:r>
          <w:t xml:space="preserve"> </w:t>
        </w:r>
      </w:ins>
      <w:hyperlink w:anchor="thm-se-error-sd">
        <w:ins w:id="7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shows that the two spreads are equal).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It is also a synonym for the standard deviation of an estimator,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so it can look redundant.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The name persists because standard errors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are the building blocks of p-values and confidence intervals,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so they come up often enough to deserve their own name.</w:t>
        </w:r>
      </w:ins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0"/>
    <w:bookmarkStart w:id="13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2"/>
    <w:bookmarkStart w:id="13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4"/>
    <w:bookmarkStart w:id="136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5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8" Type="http://schemas.openxmlformats.org/officeDocument/2006/relationships/hyperlink" Target="https://doi.org/10.1007/978-1-4419-0118-7" TargetMode="External"/><Relationship Id="rId131" Type="http://schemas.openxmlformats.org/officeDocument/2006/relationships/hyperlink" Target="https://doi.org/10.1186/s41687-020-00218-5" TargetMode="External"/><Relationship Id="rId13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4" Type="http://schemas.openxmlformats.org/officeDocument/2006/relationships/hyperlink" Target="https://morrison-lab.github.io/pds/variance-covariance.html#def-irreducible-error" TargetMode="External"/><Relationship Id="rId110" Type="http://schemas.openxmlformats.org/officeDocument/2006/relationships/hyperlink" Target="https://morrison-lab.github.io/pds/variance-covariance.html#def-sd" TargetMode="External"/><Relationship Id="rId85" Type="http://schemas.openxmlformats.org/officeDocument/2006/relationships/hyperlink" Target="https://morrison-lab.github.io/pds/variance-covariance.html#thm-prediction-error" TargetMode="External"/><Relationship Id="rId87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5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8" Type="http://schemas.openxmlformats.org/officeDocument/2006/relationships/hyperlink" Target="https://doi.org/10.1007/978-1-4419-0118-7" TargetMode="External"/><Relationship Id="rId131" Type="http://schemas.openxmlformats.org/officeDocument/2006/relationships/hyperlink" Target="https://doi.org/10.1186/s41687-020-00218-5" TargetMode="External"/><Relationship Id="rId13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4" Type="http://schemas.openxmlformats.org/officeDocument/2006/relationships/hyperlink" Target="https://morrison-lab.github.io/pds/variance-covariance.html#def-irreducible-error" TargetMode="External"/><Relationship Id="rId110" Type="http://schemas.openxmlformats.org/officeDocument/2006/relationships/hyperlink" Target="https://morrison-lab.github.io/pds/variance-covariance.html#def-sd" TargetMode="External"/><Relationship Id="rId85" Type="http://schemas.openxmlformats.org/officeDocument/2006/relationships/hyperlink" Target="https://morrison-lab.github.io/pds/variance-covariance.html#thm-prediction-error" TargetMode="External"/><Relationship Id="rId87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5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2026-10-14T20:30:46Z</dcterms:created>
  <dcterms:modified xsi:type="dcterms:W3CDTF">2026-10-14T20:30:46Z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