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del w:id="1" w:author="PR Preview" w:date="2026-01-01T00:00:00Z">
        <w:r>
          <w:delText xml:space="preserve">Last modified: 2026-10-16 11:26:47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16:23:10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from.</w:t>
      </w:r>
    </w:p>
    <w:bookmarkStart w:id="11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says that the outcomes are independent and that</w:t>
      </w:r>
    </w:p>
    <w:p>
      <w:pPr>
        <w:pStyle w:val="BodyText"/>
      </w:pPr>
      <w:bookmarkStart w:id="10" w:name="eq-logistic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bookmarkEnd w:id="11"/>
    <w:bookmarkStart w:id="12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2"/>
    <w:bookmarkEnd w:id="13"/>
    <w:bookmarkStart w:id="31" w:name="deviance"/>
    <w:p>
      <w:pPr>
        <w:pStyle w:val="Heading2"/>
      </w:pPr>
      <w:r>
        <w:t xml:space="preserve">2 Deviance</w:t>
      </w:r>
    </w:p>
    <w:bookmarkStart w:id="15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4" w:name="eq-deviance"/>
      <m:oMathPara>
        <m:oMathParaPr>
          <m:jc m:val="center"/>
        </m:oMathParaPr>
        <m:oMath>
          <m: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t> </m:t>
          </m:r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ln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  <m:r>
              <m:rPr>
                <m:sty m:val="p"/>
              </m:rPr>
              <m:t>⋅</m:t>
            </m:r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fitted probability.</w:t>
      </w:r>
    </w:p>
    <w:bookmarkEnd w:id="15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(1972)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(2009, sec. 4.4.2)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19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19"/>
    <w:bookmarkStart w:id="20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0"/>
    <w:bookmarkStart w:id="22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1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2"/>
    <w:bookmarkStart w:id="23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3"/>
    <w:bookmarkStart w:id="24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4"/>
    <w:bookmarkStart w:id="26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7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7"/>
    <w:bookmarkStart w:id="29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0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0"/>
    <w:bookmarkEnd w:id="31"/>
    <w:bookmarkStart w:id="53" w:name="X6921c8acb91e896e6cca408a54c848bac546047"/>
    <w:p>
      <w:pPr>
        <w:pStyle w:val="Heading2"/>
      </w:pPr>
      <w:r>
        <w:t xml:space="preserve">3 Covariate patterns and the saturated model</w:t>
      </w:r>
    </w:p>
    <w:bookmarkStart w:id="32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2"/>
    <w:bookmarkStart w:id="33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3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6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:</m:t>
              </m:r>
              <m:r>
                <m:t> 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</m:sub>
            <m:sup>
              <m:r>
                <m:t>​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6"/>
    <w:bookmarkStart w:id="37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7"/>
    <w:bookmarkStart w:id="39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(Dobson and Barnett 2018, sec. 5.5)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(Dobson and Barnett 2018, sec. 5.5)</w:t>
      </w:r>
      <w:r>
        <w:t xml:space="preserve">) for binary outcomes gives each pattern its own free event probability:</w:t>
      </w:r>
    </w:p>
    <w:p>
      <w:pPr>
        <w:pStyle w:val="BodyText"/>
      </w:pPr>
      <w:bookmarkStart w:id="38" w:name="eq-saturate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k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with the outcomes independent given the predictors.</w:t>
      </w:r>
    </w:p>
    <w:bookmarkEnd w:id="39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(Dobson and Barnett 2018, sec. 6.3)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2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 log-likelihood 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4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</m:oMath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3" w:name="eq-saturated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t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ℓ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6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5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 fitted model’s log-likelihood is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r>
              <m:t>​</m:t>
            </m:r>
          </m:e>
        </m:nary>
        <m:d>
          <m:dPr>
            <m:begChr m:val="{"/>
            <m:sepChr m:val=""/>
            <m:endChr m:val="}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ln</m:t>
            </m:r>
            <m:sSub>
              <m:e>
                <m:acc>
                  <m:accPr>
                    <m:chr m:val="̂"/>
                  </m:accPr>
                  <m:e>
                    <m:r>
                      <m:t>π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+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s</m:t>
                    </m:r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ln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5.6.1)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49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−</m:t>
        </m:r>
        <m:r>
          <m:t>2</m:t>
        </m:r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</m:oMath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0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0"/>
    <w:bookmarkStart w:id="51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1"/>
    <w:bookmarkStart w:id="52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2"/>
    <w:bookmarkEnd w:id="53"/>
    <w:bookmarkStart w:id="62" w:name="X840099c27253be6d59b8623dccfe2e383b0f72c"/>
    <w:p>
      <w:pPr>
        <w:pStyle w:val="Heading2"/>
      </w:pPr>
      <w:r>
        <w:t xml:space="preserve">4 Confidence intervals for the coefficients</w:t>
      </w:r>
    </w:p>
    <w:bookmarkStart w:id="55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m:oMath>
        <m:s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4" w:name="eq-logistic-mle-distribution"/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≈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W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π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56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(2009, sec. 4.4.3)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(1985)</w:t>
      </w:r>
      <w:r>
        <w:t xml:space="preserve"> </w:t>
      </w:r>
      <w:r>
        <w:t xml:space="preserve">give.</w:t>
      </w:r>
    </w:p>
    <w:bookmarkStart w:id="58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57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8"/>
    <w:bookmarkStart w:id="59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59"/>
    <w:bookmarkStart w:id="60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1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1"/>
    <w:bookmarkEnd w:id="62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64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3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4"/>
    <w:bookmarkStart w:id="66" w:name="ref-fahrmeir1985consistency"/>
    <w:p>
      <w:pPr>
        <w:pStyle w:val="Bibliography"/>
      </w:pPr>
      <w:r>
        <w:t xml:space="preserve">Fahrmeir, Ludwig, and Heinz Kaufmann. 1985.</w:t>
      </w:r>
      <w:r>
        <w:t xml:space="preserve"> </w:t>
      </w:r>
      <w:r>
        <w:t xml:space="preserve">“Consistency and Asymptotic Normality of the Maximum Likelihood Estimator in Generalized Linear Models.”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13 (1): 342–68.</w:t>
      </w:r>
      <w:r>
        <w:t xml:space="preserve"> </w:t>
      </w:r>
      <w:hyperlink r:id="rId65">
        <w:r>
          <w:rPr>
            <w:rStyle w:val="Hyperlink"/>
          </w:rPr>
          <w:t xml:space="preserve">https://doi.org/10.1214/aos/1176346597</w:t>
        </w:r>
      </w:hyperlink>
      <w:r>
        <w:t xml:space="preserve">.</w:t>
      </w:r>
    </w:p>
    <w:bookmarkEnd w:id="66"/>
    <w:bookmarkStart w:id="6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6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68"/>
    <w:bookmarkStart w:id="69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69"/>
    <w:bookmarkStart w:id="71" w:name="ref-nelder1972generalized"/>
    <w:p>
      <w:pPr>
        <w:pStyle w:val="Bibliography"/>
      </w:pPr>
      <w:r>
        <w:t xml:space="preserve">Nelder, John A., and Robert W. M.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 </w:t>
      </w:r>
      <w:r>
        <w:t xml:space="preserve">135 (3): 370–84.</w:t>
      </w:r>
      <w:r>
        <w:t xml:space="preserve"> </w:t>
      </w:r>
      <w:hyperlink r:id="rId70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67" Type="http://schemas.openxmlformats.org/officeDocument/2006/relationships/hyperlink" Target="https://doi.org/10.1007/978-0-387-84858-7" TargetMode="External"/><Relationship Id="rId63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doi.org/10.1214/aos/1176346597" TargetMode="External"/><Relationship Id="rId70" Type="http://schemas.openxmlformats.org/officeDocument/2006/relationships/hyperlink" Target="https://doi.org/10.2307/2344614" TargetMode="External"/><Relationship Id="rId25" Type="http://schemas.openxmlformats.org/officeDocument/2006/relationships/hyperlink" Target="intro-MLEs.qmd#def-lrt-stat" TargetMode="External"/><Relationship Id="rId57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56" Type="http://schemas.openxmlformats.org/officeDocument/2006/relationships/hyperlink" Target="intro-MLEs.qmd#thm-dist-mle" TargetMode="External"/><Relationship Id="rId28" Type="http://schemas.openxmlformats.org/officeDocument/2006/relationships/hyperlink" Target="intro-MLEs.qmd#thm-wilks" TargetMode="External"/></Relationships>
</file>

<file path=word/_rels/footnotes.xml.rels><?xml version='1.0' encoding='UTF-8' standalone='yes'?>
<Relationships xmlns="http://schemas.openxmlformats.org/package/2006/relationships"><Relationship Id="rId67" Type="http://schemas.openxmlformats.org/officeDocument/2006/relationships/hyperlink" Target="https://doi.org/10.1007/978-0-387-84858-7" TargetMode="External"/><Relationship Id="rId63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doi.org/10.1214/aos/1176346597" TargetMode="External"/><Relationship Id="rId70" Type="http://schemas.openxmlformats.org/officeDocument/2006/relationships/hyperlink" Target="https://doi.org/10.2307/2344614" TargetMode="External"/><Relationship Id="rId25" Type="http://schemas.openxmlformats.org/officeDocument/2006/relationships/hyperlink" Target="intro-MLEs.qmd#def-lrt-stat" TargetMode="External"/><Relationship Id="rId57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56" Type="http://schemas.openxmlformats.org/officeDocument/2006/relationships/hyperlink" Target="intro-MLEs.qmd#thm-dist-mle" TargetMode="External"/><Relationship Id="rId28" Type="http://schemas.openxmlformats.org/officeDocument/2006/relationships/hyperlink" Target="intro-MLEs.qmd#thm-wilk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2026-10-16T23:42:25Z</dcterms:created>
  <dcterms:modified xsi:type="dcterms:W3CDTF">2026-10-16T23:42:25Z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16:23:10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