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2026-10-16 02:07:14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p>
      <w:pPr>
        <w:pStyle w:val="Compact"/>
        <w:numPr>
          <w:ilvl w:val="0"/>
          <w:numId w:val="1002"/>
        </w:numPr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10.1.4, pp. 478–480)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(2007, sec. 10.4.6, pp. 399–400)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(2007, sec. 14.6, pp. 585–586)</w:t>
      </w:r>
      <w:r>
        <w:t xml:space="preserve"> </w:t>
      </w:r>
      <w:r>
        <w:t xml:space="preserve">covers conditional inference, unconditional inference and the bootstrap.</w:t>
      </w:r>
    </w:p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5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1"/>
    <w:bookmarkStart w:id="53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2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4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6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52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27" Target="inference.qmd#def-confidence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52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27" Target="inference.qmd#def-confidence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2026-10-16T09:12:07Z</dcterms:created>
  <dcterms:modified xsi:type="dcterms:W3CDTF">2026-10-16T09:12:07Z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02:07:14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