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03:31:19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0" w:name="textbook-cross-references"/>
    <w:p>
      <w:pPr>
        <w:pStyle w:val="Heading2"/>
      </w:pPr>
      <w:r>
        <w:t xml:space="preserve">Textbook cross-references</w:t>
      </w:r>
    </w:p>
    <w:p>
      <w:pPr>
        <w:pStyle w:val="FirstParagraph"/>
      </w:pPr>
      <w:r>
        <w:t xml:space="preserve">Textbook sections on the topics of this page:</w:t>
      </w:r>
    </w:p>
    <w:p>
      <w:pPr>
        <w:pStyle w:val="Compact"/>
        <w:numPr>
          <w:ilvl w:val="0"/>
          <w:numId w:val="1003"/>
        </w:numPr>
      </w:pPr>
      <w:r>
        <w:t xml:space="preserve">Hogg et al. (2019, sec. 7.7, pp. 353–360)</w:t>
      </w:r>
      <w:r>
        <w:t xml:space="preserve">: Resampling methods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10.1.4, pp. 478–480)</w:t>
      </w:r>
      <w:r>
        <w:t xml:space="preserve">: Bootstrap standard errors</w:t>
      </w:r>
    </w:p>
    <w:bookmarkEnd w:id="50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4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3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5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8"/>
    <w:bookmarkStart w:id="5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3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3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2026-10-15T10:47:18Z</dcterms:created>
  <dcterms:modified xsi:type="dcterms:W3CDTF">2026-10-15T10:47:18Z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03:31:19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