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2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Hogg et al. (2019, sec. 7.3, pp. 323–328)</w:t>
        </w:r>
      </w:ins>
      <w:ins w:id="6" w:author="PR Preview" w:date="2026-01-01T00:00:00Z">
        <w:r>
          <w:t xml:space="preserve">: Confidence intervals for proportions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Hogg et al. (2019, sec. 8.4, pp. 385–391)</w:t>
        </w:r>
      </w:ins>
      <w:ins w:id="8" w:author="PR Preview" w:date="2026-01-01T00:00:00Z">
        <w:r>
          <w:t xml:space="preserve">: Tests about proportions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Hogg et al. (2019, sec. 9.1, pp. 425–434)</w:t>
        </w:r>
      </w:ins>
      <w:ins w:id="10" w:author="PR Preview" w:date="2026-01-01T00:00:00Z">
        <w:r>
          <w:t xml:space="preserve">: Chi-square goodness-of-fit tests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Hogg et al. (2019, sec. 9.2, pp. 435–445)</w:t>
        </w:r>
      </w:ins>
      <w:ins w:id="12" w:author="PR Preview" w:date="2026-01-01T00:00:00Z">
        <w:r>
          <w:t xml:space="preserve">: Contingency tables</w:t>
        </w:r>
      </w:ins>
    </w:p>
    <w:bookmarkEnd w:id="32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2026-10-15T10:47:43Z</dcterms:created>
  <dcterms:modified xsi:type="dcterms:W3CDTF">2026-10-15T10:47:43Z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