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03:31:19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8"/>
    <w:bookmarkStart w:id="47" w:name="textbook-cross-references"/>
    <w:p>
      <w:pPr>
        <w:pStyle w:val="Heading2"/>
      </w:pPr>
      <w:r>
        <w:t xml:space="preserve">Textbook cross-references</w:t>
      </w:r>
    </w:p>
    <w:p>
      <w:pPr>
        <w:pStyle w:val="FirstParagraph"/>
      </w:pPr>
      <w:r>
        <w:t xml:space="preserve">Textbook sections on the topics of this page:</w:t>
      </w:r>
    </w:p>
    <w:p>
      <w:pPr>
        <w:pStyle w:val="Compact"/>
        <w:numPr>
          <w:ilvl w:val="0"/>
          <w:numId w:val="1002"/>
        </w:numPr>
      </w:pPr>
      <w:r>
        <w:t xml:space="preserve">Hogg et al. (2019, sec. 6.3, pp. 256–263)</w:t>
      </w:r>
      <w:r>
        <w:t xml:space="preserve">: Order statistics</w:t>
      </w:r>
    </w:p>
    <w:p>
      <w:pPr>
        <w:pStyle w:val="Compact"/>
        <w:numPr>
          <w:ilvl w:val="0"/>
          <w:numId w:val="1002"/>
        </w:numPr>
      </w:pPr>
      <w:r>
        <w:t xml:space="preserve">Hogg et al. (2019, sec. 7.5, pp. 337–343)</w:t>
      </w:r>
      <w:r>
        <w:t xml:space="preserve">: Distribution-free confidence intervals for percentiles</w:t>
      </w:r>
    </w:p>
    <w:p>
      <w:pPr>
        <w:pStyle w:val="Compact"/>
        <w:numPr>
          <w:ilvl w:val="0"/>
          <w:numId w:val="1002"/>
        </w:numPr>
      </w:pPr>
      <w:r>
        <w:t xml:space="preserve">Hogg et al. (2019, sec. 8.5, pp. 392–402)</w:t>
      </w:r>
      <w:r>
        <w:t xml:space="preserve">: Some distribution-free tests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5.4, pp. 226–231)</w:t>
      </w:r>
      <w:r>
        <w:t xml:space="preserve">: Order statistics</w:t>
      </w:r>
    </w:p>
    <w:bookmarkStart w:id="46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2026-10-15T10:55:21Z</dcterms:created>
  <dcterms:modified xsi:type="dcterms:W3CDTF">2026-10-15T10:55:21Z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03:31:19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