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Example 4 (A first-order autoregressive chain)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ρ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</w:t>
        </w:r>
      </w:ins>
      <w:ins w:id="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&gt;</m:t>
        </m:r>
        <m:r>
          <m:t>0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 constants,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let</w:t>
        </w:r>
      </w:ins>
      <w:ins w:id="14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let the starting value</w:t>
        </w:r>
      </w:ins>
      <w:ins w:id="18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be independent of them.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each</w:t>
        </w:r>
      </w:ins>
      <w:ins w:id="2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1</m:t>
        </m:r>
      </m:oMath>
      <w:ins w:id="24" w:author="PR Preview" w:date="2026-01-01T00:00:00Z">
        <w:r>
          <w:t xml:space="preserve">, let</w:t>
        </w:r>
      </w:ins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ins w:id="25" w:author="PR Preview" w:date="2026-01-01T00:00:00Z">
        <w:r>
          <w:t xml:space="preserve">The sequence</w:t>
        </w:r>
      </w:ins>
      <w:ins w:id="26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a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b/>
            <w:bCs/>
          </w:rPr>
          <w:t xml:space="preserve">first-order autoregressive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process.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Each of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a function of</w:t>
        </w:r>
      </w:ins>
      <w:ins w:id="38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</w:t>
        </w:r>
      </w:ins>
      <w:ins w:id="42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independent of all of them.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So, given</w:t>
        </w:r>
      </w:ins>
      <w:ins w:id="4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any earlier values,</w:t>
        </w:r>
      </w:ins>
      <w:ins w:id="50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has the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distribution,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which depends only on the current state</w:t>
        </w:r>
      </w:ins>
      <w:ins w:id="58" w:author="PR Preview" w:date="2026-01-01T00:00:00Z">
        <w:r>
          <w:t xml:space="preserve"> </w:t>
        </w:r>
      </w:ins>
      <m:oMath>
        <m:r>
          <m:t>s</m:t>
        </m:r>
      </m:oMath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sequence is therefore a</w:t>
        </w:r>
      </w:ins>
      <w:ins w:id="62" w:author="PR Preview" w:date="2026-01-01T00:00:00Z">
        <w:r>
          <w:t xml:space="preserve"> </w:t>
        </w:r>
      </w:ins>
      <w:hyperlink w:anchor="def-markov-chain">
        <w:ins w:id="63" w:author="PR Preview" w:date="2026-01-01T00:00:00Z">
          <w:r>
            <w:rPr>
              <w:rStyle w:val="Hyperlink"/>
            </w:rPr>
            <w:t xml:space="preserve">Markov chain</w:t>
          </w:r>
        </w:ins>
      </w:hyperlink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Unlike the chain of</w:t>
        </w:r>
      </w:ins>
      <w:ins w:id="67" w:author="PR Preview" w:date="2026-01-01T00:00:00Z">
        <w:r>
          <w:t xml:space="preserve"> </w:t>
        </w:r>
      </w:ins>
      <w:hyperlink w:anchor="exm-two-state-chain">
        <w:ins w:id="6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its states can be any real number,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so it has a continuous state space,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like the chains that MCMC builds for a continuous parameter,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whose values lie in the parameter space.</w:t>
        </w:r>
      </w:ins>
    </w:p>
    <w:bookmarkEnd w:id="23"/>
    <w:bookmarkStart w:id="24" w:name="exr-ar1-stationary"/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Exercise 1 (Stationary distribution of the autoregressive chain)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For the chain of</w:t>
        </w:r>
      </w:ins>
      <w:ins w:id="81" w:author="PR Preview" w:date="2026-01-01T00:00:00Z">
        <w:r>
          <w:t xml:space="preserve"> </w:t>
        </w:r>
      </w:ins>
      <w:hyperlink w:anchor="exm-ar1-chain">
        <w:ins w:id="8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</w:t>
        </w:r>
      </w:ins>
      <w:ins w:id="8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find the variance</w:t>
        </w:r>
      </w:ins>
      <w:ins w:id="8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&gt;</m:t>
        </m:r>
        <m:r>
          <m:t>0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for which</w:t>
        </w:r>
      </w:ins>
      <w:ins w:id="9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 a</w:t>
        </w:r>
      </w:ins>
      <w:ins w:id="95" w:author="PR Preview" w:date="2026-01-01T00:00:00Z">
        <w:r>
          <w:t xml:space="preserve"> </w:t>
        </w:r>
      </w:ins>
      <w:hyperlink w:anchor="def-stationary-distribution">
        <w:ins w:id="96" w:author="PR Preview" w:date="2026-01-01T00:00:00Z">
          <w:r>
            <w:rPr>
              <w:rStyle w:val="Hyperlink"/>
            </w:rPr>
            <w:t xml:space="preserve">stationary distribution</w:t>
          </w:r>
        </w:ins>
      </w:hyperlink>
      <w:ins w:id="97" w:author="PR Preview" w:date="2026-01-01T00:00:00Z">
        <w:r>
          <w:t xml:space="preserve">.</w:t>
        </w:r>
      </w:ins>
    </w:p>
    <w:bookmarkEnd w:id="24"/>
    <w:bookmarkStart w:id="34" w:name="sol-ar1-stationary"/>
    <w:p>
      <w:pPr>
        <w:pStyle w:val="BodyText"/>
      </w:pPr>
      <w:ins w:id="98" w:author="PR Preview" w:date="2026-01-01T00:00:00Z">
        <w:r>
          <w:rPr>
            <w:i/>
            <w:iCs/>
          </w:rPr>
          <w:t xml:space="preserve">Solution 1</w:t>
        </w:r>
      </w:ins>
      <w:ins w:id="99" w:author="PR Preview" w:date="2026-01-01T00:00:00Z">
        <w:r>
          <w:t xml:space="preserve">. </w:t>
        </w:r>
      </w:ins>
      <w:ins w:id="100" w:author="PR Preview" w:date="2026-01-01T00:00:00Z">
        <w:r>
          <w:t xml:space="preserve">Suppose</w:t>
        </w:r>
      </w:ins>
      <w:ins w:id="101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By</w:t>
        </w:r>
      </w:ins>
      <w:ins w:id="105" w:author="PR Preview" w:date="2026-01-01T00:00:00Z">
        <w:r>
          <w:t xml:space="preserve"> </w:t>
        </w:r>
      </w:ins>
      <w:hyperlink w:anchor="exm-ar1-chain">
        <w:ins w:id="10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independent of</w:t>
        </w:r>
      </w:ins>
      <w:ins w:id="111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so</w:t>
        </w:r>
      </w:ins>
      <w:ins w:id="115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16" w:author="PR Preview" w:date="2026-01-01T00:00:00Z">
        <w:r>
          <w:t xml:space="preserve">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 linear combination of independent Gaussian random variables,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Gaussian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(Casella and Berger 2002, Corollary 4.6.10)</w:t>
        </w:r>
      </w:ins>
      <w:ins w:id="123" w:author="PR Preview" w:date="2026-01-01T00:00:00Z">
        <w:r>
          <w:t xml:space="preserve">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By</w:t>
        </w:r>
      </w:ins>
      <w:ins w:id="126" w:author="PR Preview" w:date="2026-01-01T00:00:00Z">
        <w:r>
          <w:t xml:space="preserve"> </w:t>
        </w:r>
      </w:ins>
      <w:hyperlink r:id="rId25">
        <w:ins w:id="127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its mean is</w:t>
        </w:r>
      </w:ins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ins w:id="131" w:author="PR Preview" w:date="2026-01-01T00:00:00Z">
        <w:r>
          <w:t xml:space="preserve">Independent random variables are</w:t>
        </w:r>
      </w:ins>
      <w:ins w:id="132" w:author="PR Preview" w:date="2026-01-01T00:00:00Z">
        <w:r>
          <w:t xml:space="preserve"> </w:t>
        </w:r>
      </w:ins>
      <w:hyperlink r:id="rId27">
        <w:ins w:id="133" w:author="PR Preview" w:date="2026-01-01T00:00:00Z">
          <w:r>
            <w:rPr>
              <w:rStyle w:val="Hyperlink"/>
            </w:rPr>
            <w:t xml:space="preserve">uncorrelated</w:t>
          </w:r>
        </w:ins>
      </w:hyperlink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so</w:t>
        </w:r>
      </w:ins>
      <w:ins w:id="13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 by the</w:t>
        </w:r>
      </w:ins>
      <w:ins w:id="141" w:author="PR Preview" w:date="2026-01-01T00:00:00Z">
        <w:r>
          <w:t xml:space="preserve"> </w:t>
        </w:r>
      </w:ins>
      <w:hyperlink r:id="rId28">
        <w:ins w:id="142" w:author="PR Preview" w:date="2026-01-01T00:00:00Z">
          <w:r>
            <w:rPr>
              <w:rStyle w:val="Hyperlink"/>
            </w:rPr>
            <w:t xml:space="preserve">variance of a sum of two random variables</w:t>
          </w:r>
        </w:ins>
      </w:hyperlink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 variance is</w:t>
        </w:r>
      </w:ins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ins w:id="146" w:author="PR Preview" w:date="2026-01-01T00:00:00Z">
        <w:r>
          <w:t xml:space="preserve">So</w:t>
        </w:r>
      </w:ins>
      <w:ins w:id="14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and</w:t>
        </w:r>
      </w:ins>
      <w:ins w:id="151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is stationary exactly when</w:t>
        </w:r>
      </w:ins>
      <w:ins w:id="154" w:author="PR Preview" w:date="2026-01-01T00:00:00Z">
        <w:r>
          <w:t xml:space="preserve"> </w:t>
        </w:r>
      </w:ins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ins w:id="155" w:author="PR Preview" w:date="2026-01-01T00:00:00Z">
        <w:r>
          <w:t xml:space="preserve">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Solving for</w:t>
        </w:r>
      </w:ins>
      <w:ins w:id="158" w:author="PR Preview" w:date="2026-01-01T00:00:00Z">
        <w:r>
          <w:t xml:space="preserve"> </w:t>
        </w:r>
      </w:ins>
      <m:oMath>
        <m:r>
          <m:t>v</m:t>
        </m:r>
      </m:oMath>
      <w:ins w:id="159" w:author="PR Preview" w:date="2026-01-01T00:00:00Z">
        <w:r>
          <w:t xml:space="preserve">:</w:t>
        </w:r>
      </w:ins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ins w:id="160" w:author="PR Preview" w:date="2026-01-01T00:00:00Z">
        <w:r>
          <w:t xml:space="preserve">The stationary distribution is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ins w:id="162" w:author="PR Preview" w:date="2026-01-01T00:00:00Z">
        <w:r>
          <w:t xml:space="preserve">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If instead</w:t>
        </w:r>
      </w:ins>
      <w:ins w:id="16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then</w:t>
        </w:r>
      </w:ins>
      <w:ins w:id="1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for every</w:t>
        </w:r>
      </w:ins>
      <w:ins w:id="17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&gt;</m:t>
        </m:r>
        <m:r>
          <m:t>0</m:t>
        </m:r>
      </m:oMath>
      <w:ins w:id="173" w:author="PR Preview" w:date="2026-01-01T00:00:00Z">
        <w:r>
          <w:t xml:space="preserve">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so no</w:t>
        </w:r>
      </w:ins>
      <w:ins w:id="176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distribution is stationary.</w:t>
        </w:r>
      </w:ins>
    </w:p>
    <w:p>
      <w:pPr>
        <w:pStyle w:val="BodyText"/>
      </w:pPr>
      <w:ins w:id="179" w:author="PR Preview" w:date="2026-01-01T00:00:00Z">
        <w:r>
          <w:t xml:space="preserve">With</w:t>
        </w:r>
      </w:ins>
      <w:ins w:id="180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=</m:t>
        </m:r>
        <m:r>
          <m:t>0.9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and</w:t>
        </w:r>
      </w:ins>
      <w:ins w:id="183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1</m:t>
        </m:r>
      </m:oMath>
      <w:ins w:id="184" w:author="PR Preview" w:date="2026-01-01T00:00:00Z">
        <w:r>
          <w:t xml:space="preserve">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 stationary variance is</w:t>
        </w:r>
      </w:ins>
      <w:ins w:id="18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ins w:id="188" w:author="PR Preview" w:date="2026-01-01T00:00:00Z">
        <w:r>
          <w:t xml:space="preserve">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 simulated chain started far from</w:t>
        </w:r>
      </w:ins>
      <w:ins w:id="191" w:author="PR Preview" w:date="2026-01-01T00:00:00Z">
        <w:r>
          <w:t xml:space="preserve"> </w:t>
        </w:r>
      </w:ins>
      <m:oMath>
        <m:r>
          <m:t>0</m:t>
        </m:r>
      </m:oMath>
      <w:ins w:id="192" w:author="PR Preview" w:date="2026-01-01T00:00:00Z">
        <w:r>
          <w:t xml:space="preserve">, at</w:t>
        </w:r>
      </w:ins>
      <w:ins w:id="193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has mean near 0 and variance near that value once its first 1,000 values are discarded:</w:t>
        </w:r>
      </w:ins>
    </w:p>
    <w:p>
      <w:pPr>
        <w:pStyle w:val="SourceCode"/>
      </w:pPr>
      <w:ins w:id="197" w:author="PR Preview" w:date="2026-01-01T00:00:00Z">
        <w:r>
          <w:rPr>
            <w:rStyle w:val="FunctionTok"/>
          </w:rPr>
          <w:t xml:space="preserve">set.seed</w:t>
        </w:r>
      </w:ins>
      <w:ins w:id="198" w:author="PR Preview" w:date="2026-01-01T00:00:00Z">
        <w:r>
          <w:rPr>
            <w:rStyle w:val="NormalTok"/>
          </w:rPr>
          <w:t xml:space="preserve">(</w:t>
        </w:r>
      </w:ins>
      <w:ins w:id="199" w:author="PR Preview" w:date="2026-01-01T00:00:00Z">
        <w:r>
          <w:rPr>
            <w:rStyle w:val="DecValTok"/>
          </w:rPr>
          <w:t xml:space="preserve">11</w:t>
        </w:r>
      </w:ins>
      <w:ins w:id="200" w:author="PR Preview" w:date="2026-01-01T00:00:00Z">
        <w:r>
          <w:rPr>
            <w:rStyle w:val="NormalTok"/>
          </w:rPr>
          <w:t xml:space="preserve">)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NormalTok"/>
          </w:rPr>
          <w:t xml:space="preserve">n_iter </w:t>
        </w:r>
      </w:ins>
      <w:ins w:id="203" w:author="PR Preview" w:date="2026-01-01T00:00:00Z">
        <w:r>
          <w:rPr>
            <w:rStyle w:val="OtherTok"/>
          </w:rPr>
          <w:t xml:space="preserve">&lt;-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DecValTok"/>
          </w:rPr>
          <w:t xml:space="preserve">100000</w:t>
        </w:r>
      </w:ins>
      <w:ins w:id="206" w:author="PR Preview" w:date="2026-01-01T00:00:00Z">
        <w:r>
          <w:br/>
        </w:r>
      </w:ins>
      <w:ins w:id="207" w:author="PR Preview" w:date="2026-01-01T00:00:00Z">
        <w:r>
          <w:rPr>
            <w:rStyle w:val="NormalTok"/>
          </w:rPr>
          <w:t xml:space="preserve">rho </w:t>
        </w:r>
      </w:ins>
      <w:ins w:id="208" w:author="PR Preview" w:date="2026-01-01T00:00:00Z">
        <w:r>
          <w:rPr>
            <w:rStyle w:val="OtherTok"/>
          </w:rPr>
          <w:t xml:space="preserve">&lt;-</w:t>
        </w:r>
      </w:ins>
      <w:ins w:id="209" w:author="PR Preview" w:date="2026-01-01T00:00:00Z">
        <w:r>
          <w:rPr>
            <w:rStyle w:val="NormalTok"/>
          </w:rPr>
          <w:t xml:space="preserve"> </w:t>
        </w:r>
      </w:ins>
      <w:ins w:id="210" w:author="PR Preview" w:date="2026-01-01T00:00:00Z">
        <w:r>
          <w:rPr>
            <w:rStyle w:val="FloatTok"/>
          </w:rPr>
          <w:t xml:space="preserve">0.9</w:t>
        </w:r>
      </w:ins>
      <w:ins w:id="211" w:author="PR Preview" w:date="2026-01-01T00:00:00Z">
        <w:r>
          <w:br/>
        </w:r>
      </w:ins>
      <w:ins w:id="212" w:author="PR Preview" w:date="2026-01-01T00:00:00Z">
        <w:r>
          <w:rPr>
            <w:rStyle w:val="NormalTok"/>
          </w:rPr>
          <w:t xml:space="preserve">theta </w:t>
        </w:r>
      </w:ins>
      <w:ins w:id="213" w:author="PR Preview" w:date="2026-01-01T00:00:00Z">
        <w:r>
          <w:rPr>
            <w:rStyle w:val="OtherTok"/>
          </w:rPr>
          <w:t xml:space="preserve">&lt;-</w:t>
        </w:r>
      </w:ins>
      <w:ins w:id="214" w:author="PR Preview" w:date="2026-01-01T00:00:00Z">
        <w:r>
          <w:rPr>
            <w:rStyle w:val="NormalTok"/>
          </w:rPr>
          <w:t xml:space="preserve"> </w:t>
        </w:r>
      </w:ins>
      <w:ins w:id="215" w:author="PR Preview" w:date="2026-01-01T00:00:00Z">
        <w:r>
          <w:rPr>
            <w:rStyle w:val="FunctionTok"/>
          </w:rPr>
          <w:t xml:space="preserve">numeric</w:t>
        </w:r>
      </w:ins>
      <w:ins w:id="216" w:author="PR Preview" w:date="2026-01-01T00:00:00Z">
        <w:r>
          <w:rPr>
            <w:rStyle w:val="NormalTok"/>
          </w:rPr>
          <w:t xml:space="preserve">(n_iter)</w:t>
        </w:r>
      </w:ins>
      <w:ins w:id="217" w:author="PR Preview" w:date="2026-01-01T00:00:00Z">
        <w:r>
          <w:br/>
        </w:r>
      </w:ins>
      <w:ins w:id="218" w:author="PR Preview" w:date="2026-01-01T00:00:00Z">
        <w:r>
          <w:rPr>
            <w:rStyle w:val="NormalTok"/>
          </w:rPr>
          <w:t xml:space="preserve">theta[</w:t>
        </w:r>
      </w:ins>
      <w:ins w:id="219" w:author="PR Preview" w:date="2026-01-01T00:00:00Z">
        <w:r>
          <w:rPr>
            <w:rStyle w:val="DecValTok"/>
          </w:rPr>
          <w:t xml:space="preserve">1</w:t>
        </w:r>
      </w:ins>
      <w:ins w:id="220" w:author="PR Preview" w:date="2026-01-01T00:00:00Z">
        <w:r>
          <w:rPr>
            <w:rStyle w:val="NormalTok"/>
          </w:rPr>
          <w:t xml:space="preserve">] </w:t>
        </w:r>
      </w:ins>
      <w:ins w:id="221" w:author="PR Preview" w:date="2026-01-01T00:00:00Z">
        <w:r>
          <w:rPr>
            <w:rStyle w:val="OtherTok"/>
          </w:rPr>
          <w:t xml:space="preserve">&lt;-</w:t>
        </w:r>
      </w:ins>
      <w:ins w:id="222" w:author="PR Preview" w:date="2026-01-01T00:00:00Z">
        <w:r>
          <w:rPr>
            <w:rStyle w:val="NormalTok"/>
          </w:rPr>
          <w:t xml:space="preserve"> </w:t>
        </w:r>
      </w:ins>
      <w:ins w:id="223" w:author="PR Preview" w:date="2026-01-01T00:00:00Z">
        <w:r>
          <w:rPr>
            <w:rStyle w:val="DecValTok"/>
          </w:rPr>
          <w:t xml:space="preserve">10</w:t>
        </w:r>
      </w:ins>
      <w:ins w:id="224" w:author="PR Preview" w:date="2026-01-01T00:00:00Z">
        <w:r>
          <w:br/>
        </w:r>
      </w:ins>
      <w:ins w:id="225" w:author="PR Preview" w:date="2026-01-01T00:00:00Z">
        <w:r>
          <w:rPr>
            <w:rStyle w:val="ControlFlowTok"/>
          </w:rPr>
          <w:t xml:space="preserve">for</w:t>
        </w:r>
      </w:ins>
      <w:ins w:id="226" w:author="PR Preview" w:date="2026-01-01T00:00:00Z">
        <w:r>
          <w:rPr>
            <w:rStyle w:val="NormalTok"/>
          </w:rPr>
          <w:t xml:space="preserve"> (t </w:t>
        </w:r>
      </w:ins>
      <w:ins w:id="227" w:author="PR Preview" w:date="2026-01-01T00:00:00Z">
        <w:r>
          <w:rPr>
            <w:rStyle w:val="ControlFlowTok"/>
          </w:rPr>
          <w:t xml:space="preserve">in</w:t>
        </w:r>
      </w:ins>
      <w:ins w:id="228" w:author="PR Preview" w:date="2026-01-01T00:00:00Z">
        <w:r>
          <w:rPr>
            <w:rStyle w:val="NormalTok"/>
          </w:rPr>
          <w:t xml:space="preserve"> </w:t>
        </w:r>
      </w:ins>
      <w:ins w:id="229" w:author="PR Preview" w:date="2026-01-01T00:00:00Z">
        <w:r>
          <w:rPr>
            <w:rStyle w:val="FunctionTok"/>
          </w:rPr>
          <w:t xml:space="preserve">seq</w:t>
        </w:r>
      </w:ins>
      <w:ins w:id="230" w:author="PR Preview" w:date="2026-01-01T00:00:00Z">
        <w:r>
          <w:rPr>
            <w:rStyle w:val="NormalTok"/>
          </w:rPr>
          <w:t xml:space="preserve">(</w:t>
        </w:r>
      </w:ins>
      <w:ins w:id="231" w:author="PR Preview" w:date="2026-01-01T00:00:00Z">
        <w:r>
          <w:rPr>
            <w:rStyle w:val="DecValTok"/>
          </w:rPr>
          <w:t xml:space="preserve">2</w:t>
        </w:r>
      </w:ins>
      <w:ins w:id="232" w:author="PR Preview" w:date="2026-01-01T00:00:00Z">
        <w:r>
          <w:rPr>
            <w:rStyle w:val="NormalTok"/>
          </w:rPr>
          <w:t xml:space="preserve">, n_iter)) {</w:t>
        </w:r>
      </w:ins>
      <w:ins w:id="233" w:author="PR Preview" w:date="2026-01-01T00:00:00Z">
        <w:r>
          <w:br/>
        </w:r>
      </w:ins>
      <w:ins w:id="234" w:author="PR Preview" w:date="2026-01-01T00:00:00Z">
        <w:r>
          <w:rPr>
            <w:rStyle w:val="NormalTok"/>
          </w:rPr>
          <w:t xml:space="preserve">  theta[t] </w:t>
        </w:r>
      </w:ins>
      <w:ins w:id="235" w:author="PR Preview" w:date="2026-01-01T00:00:00Z">
        <w:r>
          <w:rPr>
            <w:rStyle w:val="OtherTok"/>
          </w:rPr>
          <w:t xml:space="preserve">&lt;-</w:t>
        </w:r>
      </w:ins>
      <w:ins w:id="236" w:author="PR Preview" w:date="2026-01-01T00:00:00Z">
        <w:r>
          <w:rPr>
            <w:rStyle w:val="NormalTok"/>
          </w:rPr>
          <w:t xml:space="preserve"> rho </w:t>
        </w:r>
      </w:ins>
      <w:ins w:id="237" w:author="PR Preview" w:date="2026-01-01T00:00:00Z">
        <w:r>
          <w:rPr>
            <w:rStyle w:val="SpecialCharTok"/>
          </w:rPr>
          <w:t xml:space="preserve">*</w:t>
        </w:r>
      </w:ins>
      <w:ins w:id="238" w:author="PR Preview" w:date="2026-01-01T00:00:00Z">
        <w:r>
          <w:rPr>
            <w:rStyle w:val="NormalTok"/>
          </w:rPr>
          <w:t xml:space="preserve"> theta[t </w:t>
        </w:r>
      </w:ins>
      <w:ins w:id="239" w:author="PR Preview" w:date="2026-01-01T00:00:00Z">
        <w:r>
          <w:rPr>
            <w:rStyle w:val="SpecialCharTok"/>
          </w:rPr>
          <w:t xml:space="preserve">-</w:t>
        </w:r>
      </w:ins>
      <w:ins w:id="240" w:author="PR Preview" w:date="2026-01-01T00:00:00Z">
        <w:r>
          <w:rPr>
            <w:rStyle w:val="NormalTok"/>
          </w:rPr>
          <w:t xml:space="preserve"> </w:t>
        </w:r>
      </w:ins>
      <w:ins w:id="241" w:author="PR Preview" w:date="2026-01-01T00:00:00Z">
        <w:r>
          <w:rPr>
            <w:rStyle w:val="DecValTok"/>
          </w:rPr>
          <w:t xml:space="preserve">1</w:t>
        </w:r>
      </w:ins>
      <w:ins w:id="242" w:author="PR Preview" w:date="2026-01-01T00:00:00Z">
        <w:r>
          <w:rPr>
            <w:rStyle w:val="NormalTok"/>
          </w:rPr>
          <w:t xml:space="preserve">] </w:t>
        </w:r>
      </w:ins>
      <w:ins w:id="243" w:author="PR Preview" w:date="2026-01-01T00:00:00Z">
        <w:r>
          <w:rPr>
            <w:rStyle w:val="SpecialCharTok"/>
          </w:rPr>
          <w:t xml:space="preserve">+</w:t>
        </w:r>
      </w:ins>
      <w:ins w:id="244" w:author="PR Preview" w:date="2026-01-01T00:00:00Z">
        <w:r>
          <w:rPr>
            <w:rStyle w:val="NormalTok"/>
          </w:rPr>
          <w:t xml:space="preserve"> stats</w:t>
        </w:r>
      </w:ins>
      <w:ins w:id="245" w:author="PR Preview" w:date="2026-01-01T00:00:00Z">
        <w:r>
          <w:rPr>
            <w:rStyle w:val="SpecialCharTok"/>
          </w:rPr>
          <w:t xml:space="preserve">::</w:t>
        </w:r>
      </w:ins>
      <w:ins w:id="246" w:author="PR Preview" w:date="2026-01-01T00:00:00Z">
        <w:r>
          <w:rPr>
            <w:rStyle w:val="FunctionTok"/>
          </w:rPr>
          <w:t xml:space="preserve">rnorm</w:t>
        </w:r>
      </w:ins>
      <w:ins w:id="247" w:author="PR Preview" w:date="2026-01-01T00:00:00Z">
        <w:r>
          <w:rPr>
            <w:rStyle w:val="NormalTok"/>
          </w:rPr>
          <w:t xml:space="preserve">(</w:t>
        </w:r>
      </w:ins>
      <w:ins w:id="248" w:author="PR Preview" w:date="2026-01-01T00:00:00Z">
        <w:r>
          <w:rPr>
            <w:rStyle w:val="DecValTok"/>
          </w:rPr>
          <w:t xml:space="preserve">1</w:t>
        </w:r>
      </w:ins>
      <w:ins w:id="249" w:author="PR Preview" w:date="2026-01-01T00:00:00Z">
        <w:r>
          <w:rPr>
            <w:rStyle w:val="NormalTok"/>
          </w:rPr>
          <w:t xml:space="preserve">)</w:t>
        </w:r>
      </w:ins>
      <w:ins w:id="250" w:author="PR Preview" w:date="2026-01-01T00:00:00Z">
        <w:r>
          <w:br/>
        </w:r>
      </w:ins>
      <w:ins w:id="251" w:author="PR Preview" w:date="2026-01-01T00:00:00Z">
        <w:r>
          <w:rPr>
            <w:rStyle w:val="NormalTok"/>
          </w:rPr>
          <w:t xml:space="preserve">}</w:t>
        </w:r>
      </w:ins>
      <w:ins w:id="252" w:author="PR Preview" w:date="2026-01-01T00:00:00Z">
        <w:r>
          <w:br/>
        </w:r>
      </w:ins>
      <w:ins w:id="253" w:author="PR Preview" w:date="2026-01-01T00:00:00Z">
        <w:r>
          <w:rPr>
            <w:rStyle w:val="NormalTok"/>
          </w:rPr>
          <w:t xml:space="preserve">kept </w:t>
        </w:r>
      </w:ins>
      <w:ins w:id="254" w:author="PR Preview" w:date="2026-01-01T00:00:00Z">
        <w:r>
          <w:rPr>
            <w:rStyle w:val="OtherTok"/>
          </w:rPr>
          <w:t xml:space="preserve">&lt;-</w:t>
        </w:r>
      </w:ins>
      <w:ins w:id="255" w:author="PR Preview" w:date="2026-01-01T00:00:00Z">
        <w:r>
          <w:rPr>
            <w:rStyle w:val="NormalTok"/>
          </w:rPr>
          <w:t xml:space="preserve"> theta[</w:t>
        </w:r>
      </w:ins>
      <w:ins w:id="256" w:author="PR Preview" w:date="2026-01-01T00:00:00Z">
        <w:r>
          <w:rPr>
            <w:rStyle w:val="SpecialCharTok"/>
          </w:rPr>
          <w:t xml:space="preserve">-</w:t>
        </w:r>
      </w:ins>
      <w:ins w:id="257" w:author="PR Preview" w:date="2026-01-01T00:00:00Z">
        <w:r>
          <w:rPr>
            <w:rStyle w:val="NormalTok"/>
          </w:rPr>
          <w:t xml:space="preserve">(</w:t>
        </w:r>
      </w:ins>
      <w:ins w:id="258" w:author="PR Preview" w:date="2026-01-01T00:00:00Z">
        <w:r>
          <w:rPr>
            <w:rStyle w:val="DecValTok"/>
          </w:rPr>
          <w:t xml:space="preserve">1</w:t>
        </w:r>
      </w:ins>
      <w:ins w:id="259" w:author="PR Preview" w:date="2026-01-01T00:00:00Z">
        <w:r>
          <w:rPr>
            <w:rStyle w:val="SpecialCharTok"/>
          </w:rPr>
          <w:t xml:space="preserve">:</w:t>
        </w:r>
      </w:ins>
      <w:ins w:id="260" w:author="PR Preview" w:date="2026-01-01T00:00:00Z">
        <w:r>
          <w:rPr>
            <w:rStyle w:val="DecValTok"/>
          </w:rPr>
          <w:t xml:space="preserve">1000</w:t>
        </w:r>
      </w:ins>
      <w:ins w:id="261" w:author="PR Preview" w:date="2026-01-01T00:00:00Z">
        <w:r>
          <w:rPr>
            <w:rStyle w:val="NormalTok"/>
          </w:rPr>
          <w:t xml:space="preserve">)]</w:t>
        </w:r>
      </w:ins>
      <w:ins w:id="262" w:author="PR Preview" w:date="2026-01-01T00:00:00Z">
        <w:r>
          <w:br/>
        </w:r>
      </w:ins>
      <w:ins w:id="263" w:author="PR Preview" w:date="2026-01-01T00:00:00Z">
        <w:r>
          <w:rPr>
            <w:rStyle w:val="FunctionTok"/>
          </w:rPr>
          <w:t xml:space="preserve">c</w:t>
        </w:r>
      </w:ins>
      <w:ins w:id="264" w:author="PR Preview" w:date="2026-01-01T00:00:00Z">
        <w:r>
          <w:rPr>
            <w:rStyle w:val="NormalTok"/>
          </w:rPr>
          <w:t xml:space="preserve">(</w:t>
        </w:r>
      </w:ins>
      <w:ins w:id="265" w:author="PR Preview" w:date="2026-01-01T00:00:00Z">
        <w:r>
          <w:br/>
        </w:r>
      </w:ins>
      <w:ins w:id="266" w:author="PR Preview" w:date="2026-01-01T00:00:00Z">
        <w:r>
          <w:rPr>
            <w:rStyle w:val="NormalTok"/>
          </w:rPr>
          <w:t xml:space="preserve">  </w:t>
        </w:r>
      </w:ins>
      <w:ins w:id="267" w:author="PR Preview" w:date="2026-01-01T00:00:00Z">
        <w:r>
          <w:rPr>
            <w:rStyle w:val="AttributeTok"/>
          </w:rPr>
          <w:t xml:space="preserve">mean =</w:t>
        </w:r>
      </w:ins>
      <w:ins w:id="268" w:author="PR Preview" w:date="2026-01-01T00:00:00Z">
        <w:r>
          <w:rPr>
            <w:rStyle w:val="NormalTok"/>
          </w:rPr>
          <w:t xml:space="preserve"> </w:t>
        </w:r>
      </w:ins>
      <w:ins w:id="269" w:author="PR Preview" w:date="2026-01-01T00:00:00Z">
        <w:r>
          <w:rPr>
            <w:rStyle w:val="FunctionTok"/>
          </w:rPr>
          <w:t xml:space="preserve">mean</w:t>
        </w:r>
      </w:ins>
      <w:ins w:id="270" w:author="PR Preview" w:date="2026-01-01T00:00:00Z">
        <w:r>
          <w:rPr>
            <w:rStyle w:val="NormalTok"/>
          </w:rPr>
          <w:t xml:space="preserve">(kept),</w:t>
        </w:r>
      </w:ins>
      <w:ins w:id="271" w:author="PR Preview" w:date="2026-01-01T00:00:00Z">
        <w:r>
          <w:br/>
        </w:r>
      </w:ins>
      <w:ins w:id="272" w:author="PR Preview" w:date="2026-01-01T00:00:00Z">
        <w:r>
          <w:rPr>
            <w:rStyle w:val="NormalTok"/>
          </w:rPr>
          <w:t xml:space="preserve">  </w:t>
        </w:r>
      </w:ins>
      <w:ins w:id="273" w:author="PR Preview" w:date="2026-01-01T00:00:00Z">
        <w:r>
          <w:rPr>
            <w:rStyle w:val="AttributeTok"/>
          </w:rPr>
          <w:t xml:space="preserve">variance =</w:t>
        </w:r>
      </w:ins>
      <w:ins w:id="274" w:author="PR Preview" w:date="2026-01-01T00:00:00Z">
        <w:r>
          <w:rPr>
            <w:rStyle w:val="NormalTok"/>
          </w:rPr>
          <w:t xml:space="preserve"> stats</w:t>
        </w:r>
      </w:ins>
      <w:ins w:id="275" w:author="PR Preview" w:date="2026-01-01T00:00:00Z">
        <w:r>
          <w:rPr>
            <w:rStyle w:val="SpecialCharTok"/>
          </w:rPr>
          <w:t xml:space="preserve">::</w:t>
        </w:r>
      </w:ins>
      <w:ins w:id="276" w:author="PR Preview" w:date="2026-01-01T00:00:00Z">
        <w:r>
          <w:rPr>
            <w:rStyle w:val="FunctionTok"/>
          </w:rPr>
          <w:t xml:space="preserve">var</w:t>
        </w:r>
      </w:ins>
      <w:ins w:id="277" w:author="PR Preview" w:date="2026-01-01T00:00:00Z">
        <w:r>
          <w:rPr>
            <w:rStyle w:val="NormalTok"/>
          </w:rPr>
          <w:t xml:space="preserve">(kept),</w:t>
        </w:r>
      </w:ins>
      <w:ins w:id="278" w:author="PR Preview" w:date="2026-01-01T00:00:00Z">
        <w:r>
          <w:br/>
        </w:r>
      </w:ins>
      <w:ins w:id="279" w:author="PR Preview" w:date="2026-01-01T00:00:00Z">
        <w:r>
          <w:rPr>
            <w:rStyle w:val="NormalTok"/>
          </w:rPr>
          <w:t xml:space="preserve">  </w:t>
        </w:r>
      </w:ins>
      <w:ins w:id="280" w:author="PR Preview" w:date="2026-01-01T00:00:00Z">
        <w:r>
          <w:rPr>
            <w:rStyle w:val="AttributeTok"/>
          </w:rPr>
          <w:t xml:space="preserve">stationary_variance =</w:t>
        </w:r>
      </w:ins>
      <w:ins w:id="281" w:author="PR Preview" w:date="2026-01-01T00:00:00Z">
        <w:r>
          <w:rPr>
            <w:rStyle w:val="NormalTok"/>
          </w:rPr>
          <w:t xml:space="preserve"> </w:t>
        </w:r>
      </w:ins>
      <w:ins w:id="282" w:author="PR Preview" w:date="2026-01-01T00:00:00Z">
        <w:r>
          <w:rPr>
            <w:rStyle w:val="DecValTok"/>
          </w:rPr>
          <w:t xml:space="preserve">1</w:t>
        </w:r>
      </w:ins>
      <w:ins w:id="283" w:author="PR Preview" w:date="2026-01-01T00:00:00Z">
        <w:r>
          <w:rPr>
            <w:rStyle w:val="NormalTok"/>
          </w:rPr>
          <w:t xml:space="preserve"> </w:t>
        </w:r>
      </w:ins>
      <w:ins w:id="284" w:author="PR Preview" w:date="2026-01-01T00:00:00Z">
        <w:r>
          <w:rPr>
            <w:rStyle w:val="SpecialCharTok"/>
          </w:rPr>
          <w:t xml:space="preserve">/</w:t>
        </w:r>
      </w:ins>
      <w:ins w:id="285" w:author="PR Preview" w:date="2026-01-01T00:00:00Z">
        <w:r>
          <w:rPr>
            <w:rStyle w:val="NormalTok"/>
          </w:rPr>
          <w:t xml:space="preserve"> (</w:t>
        </w:r>
      </w:ins>
      <w:ins w:id="286" w:author="PR Preview" w:date="2026-01-01T00:00:00Z">
        <w:r>
          <w:rPr>
            <w:rStyle w:val="DecValTok"/>
          </w:rPr>
          <w:t xml:space="preserve">1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SpecialCharTok"/>
          </w:rPr>
          <w:t xml:space="preserve">-</w:t>
        </w:r>
      </w:ins>
      <w:ins w:id="289" w:author="PR Preview" w:date="2026-01-01T00:00:00Z">
        <w:r>
          <w:rPr>
            <w:rStyle w:val="NormalTok"/>
          </w:rPr>
          <w:t xml:space="preserve"> rho</w:t>
        </w:r>
      </w:ins>
      <w:ins w:id="290" w:author="PR Preview" w:date="2026-01-01T00:00:00Z">
        <w:r>
          <w:rPr>
            <w:rStyle w:val="SpecialCharTok"/>
          </w:rPr>
          <w:t xml:space="preserve">^</w:t>
        </w:r>
      </w:ins>
      <w:ins w:id="291" w:author="PR Preview" w:date="2026-01-01T00:00:00Z">
        <w:r>
          <w:rPr>
            <w:rStyle w:val="DecValTok"/>
          </w:rPr>
          <w:t xml:space="preserve">2</w:t>
        </w:r>
      </w:ins>
      <w:ins w:id="292" w:author="PR Preview" w:date="2026-01-01T00:00:00Z">
        <w:r>
          <w:rPr>
            <w:rStyle w:val="NormalTok"/>
          </w:rPr>
          <w:t xml:space="preserve">)</w:t>
        </w:r>
      </w:ins>
      <w:ins w:id="293" w:author="PR Preview" w:date="2026-01-01T00:00:00Z">
        <w:r>
          <w:br/>
        </w:r>
      </w:ins>
      <w:ins w:id="294" w:author="PR Preview" w:date="2026-01-01T00:00:00Z">
        <w:r>
          <w:rPr>
            <w:rStyle w:val="NormalTok"/>
          </w:rPr>
          <w:t xml:space="preserve">) </w:t>
        </w:r>
      </w:ins>
      <w:ins w:id="295" w:author="PR Preview" w:date="2026-01-01T00:00:00Z">
        <w:r>
          <w:rPr>
            <w:rStyle w:val="SpecialCharTok"/>
          </w:rPr>
          <w:t xml:space="preserve">|&gt;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NormalTok"/>
          </w:rPr>
          <w:t xml:space="preserve">  </w:t>
        </w:r>
      </w:ins>
      <w:ins w:id="298" w:author="PR Preview" w:date="2026-01-01T00:00:00Z">
        <w:r>
          <w:rPr>
            <w:rStyle w:val="FunctionTok"/>
          </w:rPr>
          <w:t xml:space="preserve">round</w:t>
        </w:r>
      </w:ins>
      <w:ins w:id="299" w:author="PR Preview" w:date="2026-01-01T00:00:00Z">
        <w:r>
          <w:rPr>
            <w:rStyle w:val="NormalTok"/>
          </w:rPr>
          <w:t xml:space="preserve">(</w:t>
        </w:r>
      </w:ins>
      <w:ins w:id="300" w:author="PR Preview" w:date="2026-01-01T00:00:00Z">
        <w:r>
          <w:rPr>
            <w:rStyle w:val="DecValTok"/>
          </w:rPr>
          <w:t xml:space="preserve">2</w:t>
        </w:r>
      </w:ins>
      <w:ins w:id="301" w:author="PR Preview" w:date="2026-01-01T00:00:00Z">
        <w:r>
          <w:rPr>
            <w:rStyle w:val="NormalTok"/>
          </w:rPr>
          <w:t xml:space="preserve">)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CommentTok"/>
          </w:rPr>
          <w:t xml:space="preserve">#&gt;                mean            variance stationary_variance </w:t>
        </w:r>
      </w:ins>
      <w:ins w:id="304" w:author="PR Preview" w:date="2026-01-01T00:00:00Z">
        <w:r>
          <w:br/>
        </w:r>
      </w:ins>
      <w:ins w:id="305" w:author="PR Preview" w:date="2026-01-01T00:00:00Z">
        <w:r>
          <w:rPr>
            <w:rStyle w:val="CommentTok"/>
          </w:rPr>
          <w:t xml:space="preserve">#&gt;                0.05                5.07                5.26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ins w:id="306" w:author="PR Preview" w:date="2026-01-01T00:00:00Z">
        <w:r>
          <w:rPr>
            <w:b/>
            <w:bCs/>
          </w:rPr>
          <w:t xml:space="preserve">Theorem 1 (Stationary distribution of the autoregressive chain)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For the chain of</w:t>
        </w:r>
      </w:ins>
      <w:ins w:id="309" w:author="PR Preview" w:date="2026-01-01T00:00:00Z">
        <w:r>
          <w:t xml:space="preserve"> </w:t>
        </w:r>
      </w:ins>
      <w:hyperlink w:anchor="exm-ar1-chain">
        <w:ins w:id="31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with</w:t>
        </w:r>
      </w:ins>
      <w:ins w:id="31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314" w:author="PR Preview" w:date="2026-01-01T00:00:00Z">
        <w:r>
          <w:t xml:space="preserve">,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the normal distribution with mean 0 and variance</w:t>
        </w:r>
      </w:ins>
      <w:ins w:id="31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is a</w:t>
        </w:r>
      </w:ins>
      <w:ins w:id="320" w:author="PR Preview" w:date="2026-01-01T00:00:00Z">
        <w:r>
          <w:t xml:space="preserve"> </w:t>
        </w:r>
      </w:ins>
      <w:hyperlink w:anchor="def-stationary-distribution">
        <w:ins w:id="321" w:author="PR Preview" w:date="2026-01-01T00:00:00Z">
          <w:r>
            <w:rPr>
              <w:rStyle w:val="Hyperlink"/>
            </w:rPr>
            <w:t xml:space="preserve">stationary distribution</w:t>
          </w:r>
        </w:ins>
      </w:hyperlink>
      <w:ins w:id="322" w:author="PR Preview" w:date="2026-01-01T00:00:00Z">
        <w:r>
          <w:t xml:space="preserve">:</w:t>
        </w:r>
      </w:ins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ins w:id="323" w:author="PR Preview" w:date="2026-01-01T00:00:00Z">
        <w:r>
          <w:rPr>
            <w:i/>
            <w:iCs/>
          </w:rPr>
          <w:t xml:space="preserve">Proof</w:t>
        </w:r>
      </w:ins>
      <w:ins w:id="324" w:author="PR Preview" w:date="2026-01-01T00:00:00Z">
        <w:r>
          <w:t xml:space="preserve">. </w:t>
        </w:r>
      </w:ins>
      <w:ins w:id="325" w:author="PR Preview" w:date="2026-01-01T00:00:00Z">
        <w:r>
          <w:t xml:space="preserve">This result is the solution to</w:t>
        </w:r>
      </w:ins>
      <w:ins w:id="326" w:author="PR Preview" w:date="2026-01-01T00:00:00Z">
        <w:r>
          <w:t xml:space="preserve"> </w:t>
        </w:r>
      </w:ins>
      <w:hyperlink w:anchor="exr-ar1-stationary">
        <w:ins w:id="32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28" w:author="PR Preview" w:date="2026-01-01T00:00:00Z">
        <w:r>
          <w:t xml:space="preserve">.</w:t>
        </w:r>
      </w:ins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del w:id="329" w:author="PR Preview" w:date="2026-01-01T00:00:00Z">
        <w:r>
          <w:rPr>
            <w:b/>
            <w:bCs/>
          </w:rPr>
          <w:delText xml:space="preserve">Example 4 (A Gaussian random-walk proposal)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For a scalar parameter</w:delText>
        </w:r>
      </w:del>
      <w:del w:id="332" w:author="PR Preview" w:date="2026-01-01T00:00:00Z">
        <w:r>
          <w:delText xml:space="preserve"> </w:delText>
        </w:r>
      </w:del>
      <m:oMath>
        <m:r>
          <m:t>π</m:t>
        </m:r>
      </m:oMath>
      <w:del w:id="333" w:author="PR Preview" w:date="2026-01-01T00:00:00Z">
        <w:r>
          <w:delText xml:space="preserve">,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the proposal</w:delText>
        </w:r>
      </w:del>
      <w:del w:id="336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draws a candidate within about</w:delText>
        </w:r>
      </w:del>
      <w:del w:id="339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  <m:r>
          <m:t>0.1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of the current value</w:delText>
        </w:r>
      </w:del>
      <w:del w:id="342" w:author="PR Preview" w:date="2026-01-01T00:00:00Z">
        <w:r>
          <w:delText xml:space="preserve"> </w:delText>
        </w:r>
      </w:del>
      <m:oMath>
        <m:r>
          <m:t>π</m:t>
        </m:r>
      </m:oMath>
      <w:del w:id="343" w:author="PR Preview" w:date="2026-01-01T00:00:00Z">
        <w:r>
          <w:delText xml:space="preserve">.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It is</w:delText>
        </w:r>
      </w:del>
      <w:del w:id="346" w:author="PR Preview" w:date="2026-01-01T00:00:00Z">
        <w:r>
          <w:delText xml:space="preserve"> </w:delText>
        </w:r>
      </w:del>
      <w:hyperlink w:anchor="def-symmetric-proposal">
        <w:del w:id="347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348" w:author="PR Preview" w:date="2026-01-01T00:00:00Z">
        <w:r>
          <w:delText xml:space="preserve">:</w:delText>
        </w:r>
      </w:del>
      <w:del w:id="349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50" w:author="PR Preview" w:date="2026-01-01T00:00:00Z">
        <w:r>
          <w:delText xml:space="preserve">,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because the Gaussian density depends on</w:delText>
        </w:r>
      </w:del>
      <w:del w:id="353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only through its square.</w:delText>
        </w:r>
      </w:del>
    </w:p>
    <w:p>
      <w:pPr>
        <w:pStyle w:val="BodyText"/>
      </w:pPr>
      <w:ins w:id="356" w:author="PR Preview" w:date="2026-01-01T00:00:00Z">
        <w:r>
          <w:rPr>
            <w:b/>
            <w:bCs/>
          </w:rPr>
          <w:t xml:space="preserve">Example 5 (A Gaussian random-walk proposal)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For a scalar parameter</w:t>
        </w:r>
      </w:ins>
      <w:ins w:id="359" w:author="PR Preview" w:date="2026-01-01T00:00:00Z">
        <w:r>
          <w:t xml:space="preserve"> </w:t>
        </w:r>
      </w:ins>
      <m:oMath>
        <m:r>
          <m:t>π</m:t>
        </m:r>
      </m:oMath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the proposal</w:t>
        </w:r>
      </w:ins>
      <w:ins w:id="363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draws a candidate within about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  <m:r>
          <m:t>0.1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of the current value</w:t>
        </w:r>
      </w:ins>
      <w:ins w:id="369" w:author="PR Preview" w:date="2026-01-01T00:00:00Z">
        <w:r>
          <w:t xml:space="preserve"> </w:t>
        </w:r>
      </w:ins>
      <m:oMath>
        <m:r>
          <m:t>π</m:t>
        </m:r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It is</w:t>
        </w:r>
      </w:ins>
      <w:ins w:id="373" w:author="PR Preview" w:date="2026-01-01T00:00:00Z">
        <w:r>
          <w:t xml:space="preserve"> </w:t>
        </w:r>
      </w:ins>
      <w:hyperlink w:anchor="def-symmetric-proposal">
        <w:ins w:id="374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375" w:author="PR Preview" w:date="2026-01-01T00:00:00Z">
        <w:r>
          <w:t xml:space="preserve">:</w:t>
        </w:r>
      </w:ins>
      <w:ins w:id="37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377" w:author="PR Preview" w:date="2026-01-01T00:00:00Z">
        <w:r>
          <w:t xml:space="preserve">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because the Gaussian density depends on</w:t>
        </w:r>
      </w:ins>
      <w:ins w:id="380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only through its square.</w:t>
        </w:r>
      </w:ins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del w:id="383" w:author="PR Preview" w:date="2026-01-01T00:00:00Z">
        <w:r>
          <w:rPr>
            <w:b/>
            <w:bCs/>
          </w:rPr>
          <w:delText xml:space="preserve">Example 5 (Acceptance ratio for a Bernoulli posterior)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With</w:delText>
        </w:r>
      </w:del>
      <w:del w:id="386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successes in</w:delText>
        </w:r>
      </w:del>
      <w:del w:id="38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trials, a uniform prior,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and the</w:delText>
        </w:r>
      </w:del>
      <w:del w:id="394" w:author="PR Preview" w:date="2026-01-01T00:00:00Z">
        <w:r>
          <w:delText xml:space="preserve"> </w:delText>
        </w:r>
      </w:del>
      <w:hyperlink w:anchor="def-symmetric-proposal">
        <w:del w:id="395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proposal of</w:delText>
        </w:r>
      </w:del>
      <w:del w:id="398" w:author="PR Preview" w:date="2026-01-01T00:00:00Z">
        <w:r>
          <w:delText xml:space="preserve"> </w:delText>
        </w:r>
      </w:del>
      <w:hyperlink w:anchor="exm-proposal-distribution">
        <w:del w:id="399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400" w:author="PR Preview" w:date="2026-01-01T00:00:00Z">
        <w:r>
          <w:delText xml:space="preserve">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the</w:delText>
        </w:r>
      </w:del>
      <w:del w:id="403" w:author="PR Preview" w:date="2026-01-01T00:00:00Z">
        <w:r>
          <w:delText xml:space="preserve"> </w:delText>
        </w:r>
      </w:del>
      <m:oMath>
        <m:r>
          <m:t>q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terms cancel and the prior is constant,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so moving from</w:delText>
        </w:r>
      </w:del>
      <w:del w:id="408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to</w:delText>
        </w:r>
      </w:del>
      <w:del w:id="411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gives</w:delText>
        </w:r>
      </w:del>
    </w:p>
    <w:p>
      <w:pPr>
        <w:pStyle w:val="FirstParagraph"/>
      </w:pPr>
      <w:ins w:id="414" w:author="PR Preview" w:date="2026-01-01T00:00:00Z">
        <w:r>
          <w:rPr>
            <w:b/>
            <w:bCs/>
          </w:rPr>
          <w:t xml:space="preserve">Example 6 (Acceptance ratio for a Bernoulli posterior)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With</w:t>
        </w:r>
      </w:ins>
      <w:ins w:id="417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successes in</w:t>
        </w:r>
      </w:ins>
      <w:ins w:id="4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trials, a uniform prior,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and the</w:t>
        </w:r>
      </w:ins>
      <w:ins w:id="425" w:author="PR Preview" w:date="2026-01-01T00:00:00Z">
        <w:r>
          <w:t xml:space="preserve"> </w:t>
        </w:r>
      </w:ins>
      <w:hyperlink w:anchor="def-symmetric-proposal">
        <w:ins w:id="426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proposal of</w:t>
        </w:r>
      </w:ins>
      <w:ins w:id="429" w:author="PR Preview" w:date="2026-01-01T00:00:00Z">
        <w:r>
          <w:t xml:space="preserve"> </w:t>
        </w:r>
      </w:ins>
      <w:hyperlink w:anchor="exm-proposal-distribution">
        <w:ins w:id="430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31" w:author="PR Preview" w:date="2026-01-01T00:00:00Z">
        <w:r>
          <w:t xml:space="preserve">,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the</w:t>
        </w:r>
      </w:ins>
      <w:ins w:id="434" w:author="PR Preview" w:date="2026-01-01T00:00:00Z">
        <w:r>
          <w:t xml:space="preserve"> </w:t>
        </w:r>
      </w:ins>
      <m:oMath>
        <m:r>
          <m:t>q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terms cancel and the prior is constant,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so moving from</w:t>
        </w:r>
      </w:ins>
      <w:ins w:id="439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to</w:t>
        </w:r>
      </w:ins>
      <w:ins w:id="442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del w:id="445" w:author="PR Preview" w:date="2026-01-01T00:00:00Z">
        <w:r>
          <w:rPr>
            <w:b/>
            <w:bCs/>
          </w:rPr>
          <w:delText xml:space="preserve">Example 6 (Metropolis–Hastings for a Bernoulli model)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We sample the posterior of</w:delText>
        </w:r>
      </w:del>
      <w:del w:id="448" w:author="PR Preview" w:date="2026-01-01T00:00:00Z">
        <w:r>
          <w:delText xml:space="preserve"> </w:delText>
        </w:r>
      </w:del>
      <w:hyperlink r:id="rId11">
        <w:del w:id="449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(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successes in</w:delText>
        </w:r>
      </w:del>
      <w:del w:id="45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trials, uniform prior)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with a Gaussian random-walk proposal</w:delText>
        </w:r>
      </w:del>
      <w:del w:id="459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462" w:author="PR Preview" w:date="2026-01-01T00:00:00Z">
        <w:r>
          <w:delText xml:space="preserve">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The proposal is symmetric,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and the uniform prior density is 1 on</w:delText>
        </w:r>
      </w:del>
      <w:del w:id="4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so the log of the acceptance ratio is the difference of log-likelihoods,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and a proposal outside</w:delText>
        </w:r>
      </w:del>
      <w:del w:id="4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is always rejected.</w:delText>
        </w:r>
      </w:del>
    </w:p>
    <w:p>
      <w:pPr>
        <w:pStyle w:val="BodyText"/>
      </w:pPr>
      <w:ins w:id="476" w:author="PR Preview" w:date="2026-01-01T00:00:00Z">
        <w:r>
          <w:rPr>
            <w:b/>
            <w:bCs/>
          </w:rPr>
          <w:t xml:space="preserve">Example 7 (Metropolis–Hastings for a Bernoulli model)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We sample the posterior of</w:t>
        </w:r>
      </w:ins>
      <w:ins w:id="479" w:author="PR Preview" w:date="2026-01-01T00:00:00Z">
        <w:r>
          <w:t xml:space="preserve"> </w:t>
        </w:r>
      </w:ins>
      <w:hyperlink r:id="rId11">
        <w:ins w:id="480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(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successes in</w:t>
        </w:r>
      </w:ins>
      <w:ins w:id="4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trials, uniform prior)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with a Gaussian random-walk proposal</w:t>
        </w:r>
      </w:ins>
      <w:ins w:id="490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ins w:id="491" w:author="PR Preview" w:date="2026-01-01T00:00:00Z">
        <w:r>
          <w:t xml:space="preserve">,</w:t>
        </w:r>
      </w:ins>
      <w:ins w:id="49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93" w:author="PR Preview" w:date="2026-01-01T00:00:00Z">
        <w:r>
          <w:t xml:space="preserve">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The proposal is symmetric,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and the uniform prior density is 1 on</w:t>
        </w:r>
      </w:ins>
      <w:ins w:id="4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99" w:author="PR Preview" w:date="2026-01-01T00:00:00Z">
        <w:r>
          <w:t xml:space="preserve">,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so the log of the acceptance ratio is the difference of log-likelihoods,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and a proposal outside</w:t>
        </w:r>
      </w:ins>
      <w:ins w:id="5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is always rejected.</w:t>
        </w:r>
      </w:ins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del w:id="507" w:author="PR Preview" w:date="2026-01-01T00:00:00Z">
        <w:r>
          <w:rPr>
            <w:b/>
            <w:bCs/>
          </w:rPr>
          <w:delText xml:space="preserve">Example 7 (Burn-in for the Bernoulli sampler)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Continuing</w:delText>
        </w:r>
      </w:del>
      <w:del w:id="510" w:author="PR Preview" w:date="2026-01-01T00:00:00Z">
        <w:r>
          <w:delText xml:space="preserve"> </w:delText>
        </w:r>
      </w:del>
      <w:hyperlink w:anchor="exm-mh-bernoulli">
        <w:del w:id="511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12" w:author="PR Preview" w:date="2026-01-01T00:00:00Z">
        <w:r>
          <w:delText xml:space="preserve">,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we start two more chains at the extreme values</w:delText>
        </w:r>
      </w:del>
      <w:del w:id="515" w:author="PR Preview" w:date="2026-01-01T00:00:00Z">
        <w:r>
          <w:delText xml:space="preserve"> </w:delText>
        </w:r>
      </w:del>
      <m:oMath>
        <m:r>
          <m:t>0.05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and</w:delText>
        </w:r>
      </w:del>
      <w:del w:id="518" w:author="PR Preview" w:date="2026-01-01T00:00:00Z">
        <w:r>
          <w:delText xml:space="preserve"> </w:delText>
        </w:r>
      </w:del>
      <m:oMath>
        <m:r>
          <m:t>0.95</m:t>
        </m:r>
      </m:oMath>
      <w:del w:id="519" w:author="PR Preview" w:date="2026-01-01T00:00:00Z">
        <w:r>
          <w:delText xml:space="preserve">.</w:delText>
        </w:r>
      </w:del>
      <w:del w:id="520" w:author="PR Preview" w:date="2026-01-01T00:00:00Z">
        <w:r>
          <w:delText xml:space="preserve"> </w:delText>
        </w:r>
      </w:del>
      <w:hyperlink w:anchor="fig-mh-burnin">
        <w:del w:id="521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shows their first 200 iterations.</w:delText>
        </w:r>
      </w:del>
    </w:p>
    <w:p>
      <w:pPr>
        <w:pStyle w:val="BodyText"/>
      </w:pPr>
      <w:ins w:id="524" w:author="PR Preview" w:date="2026-01-01T00:00:00Z">
        <w:r>
          <w:rPr>
            <w:b/>
            <w:bCs/>
          </w:rPr>
          <w:t xml:space="preserve">Example 8 (Burn-in for the Bernoulli sampler)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Continuing</w:t>
        </w:r>
      </w:ins>
      <w:ins w:id="527" w:author="PR Preview" w:date="2026-01-01T00:00:00Z">
        <w:r>
          <w:t xml:space="preserve"> </w:t>
        </w:r>
      </w:ins>
      <w:hyperlink w:anchor="exm-mh-bernoulli">
        <w:ins w:id="528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29" w:author="PR Preview" w:date="2026-01-01T00:00:00Z">
        <w:r>
          <w:t xml:space="preserve">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we start two more chains at the extreme values</w:t>
        </w:r>
      </w:ins>
      <w:ins w:id="532" w:author="PR Preview" w:date="2026-01-01T00:00:00Z">
        <w:r>
          <w:t xml:space="preserve"> </w:t>
        </w:r>
      </w:ins>
      <m:oMath>
        <m:r>
          <m:t>0.05</m:t>
        </m:r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and</w:t>
        </w:r>
      </w:ins>
      <w:ins w:id="535" w:author="PR Preview" w:date="2026-01-01T00:00:00Z">
        <w:r>
          <w:t xml:space="preserve"> </w:t>
        </w:r>
      </w:ins>
      <m:oMath>
        <m:r>
          <m:t>0.95</m:t>
        </m:r>
      </m:oMath>
      <w:ins w:id="536" w:author="PR Preview" w:date="2026-01-01T00:00:00Z">
        <w:r>
          <w:t xml:space="preserve">.</w:t>
        </w:r>
      </w:ins>
      <w:ins w:id="537" w:author="PR Preview" w:date="2026-01-01T00:00:00Z">
        <w:r>
          <w:t xml:space="preserve"> </w:t>
        </w:r>
      </w:ins>
      <w:hyperlink w:anchor="fig-mh-burnin">
        <w:ins w:id="538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shows their first 200 iterations.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del w:id="541" w:author="PR Preview" w:date="2026-01-01T00:00:00Z">
        <w:r>
          <w:rPr>
            <w:b/>
            <w:bCs/>
          </w:rPr>
          <w:delText xml:space="preserve">Example 8 (Gibbs sampling from a correlated Gaussian target)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Let the target be the bivariate Gaussian distribution of</w:delText>
        </w:r>
      </w:del>
      <w:del w:id="5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with means 0, variances 1 and correlation</w:delText>
        </w:r>
      </w:del>
      <w:del w:id="547" w:author="PR Preview" w:date="2026-01-01T00:00:00Z">
        <w:r>
          <w:delText xml:space="preserve"> </w:delText>
        </w:r>
      </w:del>
      <m:oMath>
        <m:r>
          <m:t>ρ</m:t>
        </m:r>
      </m:oMath>
      <w:del w:id="548" w:author="PR Preview" w:date="2026-01-01T00:00:00Z">
        <w:r>
          <w:delText xml:space="preserve">,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whose density is proportional to</w:delText>
        </w:r>
      </w:del>
      <w:del w:id="551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(Casella and Berger 2002, Definition 4.5.10)</w:delText>
        </w:r>
      </w:del>
      <w:del w:id="554" w:author="PR Preview" w:date="2026-01-01T00:00:00Z">
        <w:r>
          <w:delText xml:space="preserve">.</w:delText>
        </w:r>
      </w:del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As a function of</w:delText>
        </w:r>
      </w:del>
      <w:del w:id="557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1</m:t>
            </m:r>
          </m:sub>
        </m:sSub>
      </m:oMath>
      <w:del w:id="558" w:author="PR Preview" w:date="2026-01-01T00:00:00Z">
        <w:r>
          <w:delText xml:space="preserve">,</w:delText>
        </w:r>
      </w:del>
    </w:p>
    <w:p>
      <w:pPr>
        <w:pStyle w:val="BodyText"/>
      </w:pPr>
      <w:ins w:id="559" w:author="PR Preview" w:date="2026-01-01T00:00:00Z">
        <w:r>
          <w:rPr>
            <w:b/>
            <w:bCs/>
          </w:rPr>
          <w:t xml:space="preserve">Example 9 (Gibbs sampling from a correlated Gaussian target)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Let the target be the bivariate Gaussian distribution of</w:t>
        </w:r>
      </w:ins>
      <w:ins w:id="56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with means 0, variances 1 and correlation</w:t>
        </w:r>
      </w:ins>
      <w:ins w:id="565" w:author="PR Preview" w:date="2026-01-01T00:00:00Z">
        <w:r>
          <w:t xml:space="preserve"> </w:t>
        </w:r>
      </w:ins>
      <m:oMath>
        <m:r>
          <m:t>ρ</m:t>
        </m:r>
      </m:oMath>
      <w:ins w:id="566" w:author="PR Preview" w:date="2026-01-01T00:00:00Z">
        <w:r>
          <w:t xml:space="preserve">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whose density is proportional to</w:t>
        </w:r>
      </w:ins>
      <w:ins w:id="56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(Casella and Berger 2002, Definition 4.5.10)</w:t>
        </w:r>
      </w:ins>
      <w:ins w:id="572" w:author="PR Preview" w:date="2026-01-01T00:00:00Z">
        <w:r>
          <w:t xml:space="preserve">.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As a function of</w:t>
        </w:r>
      </w:ins>
      <w:ins w:id="575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57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del w:id="577" w:author="PR Preview" w:date="2026-01-01T00:00:00Z">
        <w:r>
          <w:rPr>
            <w:b/>
            <w:bCs/>
          </w:rPr>
          <w:delText xml:space="preserve">Example 9 (Potential scale reduction factor for the Bernoulli sampler)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Continuing</w:delText>
        </w:r>
      </w:del>
      <w:del w:id="580" w:author="PR Preview" w:date="2026-01-01T00:00:00Z">
        <w:r>
          <w:delText xml:space="preserve"> </w:delText>
        </w:r>
      </w:del>
      <w:hyperlink w:anchor="exm-burnin">
        <w:del w:id="581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82" w:author="PR Preview" w:date="2026-01-01T00:00:00Z">
        <w:r>
          <w:delText xml:space="preserve">,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we compute</w:delText>
        </w:r>
      </w:del>
      <w:del w:id="5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R</m:t>
            </m:r>
          </m:e>
        </m:acc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for the two chains,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first over their first 50 iterations, which include the burn-in,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and then over iterations 501 to 5,000:</w:delText>
        </w:r>
      </w:del>
    </w:p>
    <w:p>
      <w:pPr>
        <w:pStyle w:val="BodyText"/>
      </w:pPr>
      <w:ins w:id="592" w:author="PR Preview" w:date="2026-01-01T00:00:00Z">
        <w:r>
          <w:rPr>
            <w:b/>
            <w:bCs/>
          </w:rPr>
          <w:t xml:space="preserve">Example 10 (Potential scale reduction factor for the Bernoulli sampler)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Continuing</w:t>
        </w:r>
      </w:ins>
      <w:ins w:id="595" w:author="PR Preview" w:date="2026-01-01T00:00:00Z">
        <w:r>
          <w:t xml:space="preserve"> </w:t>
        </w:r>
      </w:ins>
      <w:hyperlink w:anchor="exm-burnin">
        <w:ins w:id="59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we compute</w:t>
        </w:r>
      </w:ins>
      <w:ins w:id="60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R</m:t>
            </m:r>
          </m:e>
        </m:acc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for the two chains,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first over their first 50 iterations, which include the burn-in,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 then over iterations 501 to 5,000:</w:t>
        </w:r>
      </w:ins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del w:id="607" w:author="PR Preview" w:date="2026-01-01T00:00:00Z">
        <w:r>
          <w:rPr>
            <w:b/>
            <w:bCs/>
          </w:rPr>
          <w:delText xml:space="preserve">Example 10 (Posterior mean and maximum likelihood estimate for a Bernoulli model)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With</w:delText>
        </w:r>
      </w:del>
      <w:del w:id="61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successes in</w:delText>
        </w:r>
      </w:del>
      <w:del w:id="6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trials,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the maximum likelihood estimate is</w:delText>
        </w:r>
      </w:del>
      <w:del w:id="6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del w:id="619" w:author="PR Preview" w:date="2026-01-01T00:00:00Z">
        <w:r>
          <w:delText xml:space="preserve">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with estimated standard error</w:delText>
        </w:r>
      </w:del>
      <w:del w:id="62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623" w:author="PR Preview" w:date="2026-01-01T00:00:00Z">
        <w:r>
          <w:delText xml:space="preserve">.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Under the uniform prior, the posterior is</w:delText>
        </w:r>
      </w:del>
      <w:del w:id="626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(</w:delText>
        </w:r>
      </w:del>
      <w:hyperlink r:id="rId11">
        <w:del w:id="629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630" w:author="PR Preview" w:date="2026-01-01T00:00:00Z">
        <w:r>
          <w:delText xml:space="preserve">),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whose mean is</w:delText>
        </w:r>
      </w:del>
      <w:del w:id="6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and whose standard deviation is</w:delText>
        </w:r>
      </w:del>
      <w:del w:id="63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with</w:delText>
        </w:r>
      </w:del>
      <w:del w:id="63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and</w:delText>
        </w:r>
      </w:del>
      <w:del w:id="64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(Casella and Berger 2002, sec. 3.3, p. 107)</w:delText>
        </w:r>
      </w:del>
      <w:del w:id="645" w:author="PR Preview" w:date="2026-01-01T00:00:00Z">
        <w:r>
          <w:delText xml:space="preserve">:</w:delText>
        </w:r>
      </w:del>
    </w:p>
    <w:p>
      <w:pPr>
        <w:pStyle w:val="BodyText"/>
      </w:pPr>
      <w:ins w:id="646" w:author="PR Preview" w:date="2026-01-01T00:00:00Z">
        <w:r>
          <w:rPr>
            <w:b/>
            <w:bCs/>
          </w:rPr>
          <w:t xml:space="preserve">Example 11 (Posterior mean and maximum likelihood estimate for a Bernoulli model)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With</w:t>
        </w:r>
      </w:ins>
      <w:ins w:id="64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successes in</w:t>
        </w:r>
      </w:ins>
      <w:ins w:id="6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trials,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the maximum likelihood estimate is</w:t>
        </w:r>
      </w:ins>
      <w:ins w:id="6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with estimated standard error</w:t>
        </w:r>
      </w:ins>
      <w:ins w:id="66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662" w:author="PR Preview" w:date="2026-01-01T00:00:00Z">
        <w:r>
          <w:t xml:space="preserve">.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Under the uniform prior, the posterior is</w:t>
        </w:r>
      </w:ins>
      <w:ins w:id="665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(</w:t>
        </w:r>
      </w:ins>
      <w:hyperlink r:id="rId11">
        <w:ins w:id="668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669" w:author="PR Preview" w:date="2026-01-01T00:00:00Z">
        <w:r>
          <w:t xml:space="preserve">),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whose mean is</w:t>
        </w:r>
      </w:ins>
      <w:ins w:id="6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 whose standard deviation is</w:t>
        </w:r>
      </w:ins>
      <w:ins w:id="67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with</w:t>
        </w:r>
      </w:ins>
      <w:ins w:id="6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and</w:t>
        </w:r>
      </w:ins>
      <w:ins w:id="68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(Casella and Berger 2002, sec. 3.3, p. 107)</w:t>
        </w:r>
      </w:ins>
      <w:ins w:id="684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del w:id="685" w:author="PR Preview" w:date="2026-01-01T00:00:00Z">
        <w:r>
          <w:delText xml:space="preserve">The two estimates differ only through the prior’s pseudo-counts,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and so do the two measures of spread;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both differences vanish as</w:delText>
        </w:r>
      </w:del>
      <w:del w:id="690" w:author="PR Preview" w:date="2026-01-01T00:00:00Z">
        <w:r>
          <w:delText xml:space="preserve"> </w:delText>
        </w:r>
      </w:del>
      <m:oMath>
        <m:r>
          <m:t>n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grows.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The MCMC mean in</w:delText>
        </w:r>
      </w:del>
      <w:del w:id="695" w:author="PR Preview" w:date="2026-01-01T00:00:00Z">
        <w:r>
          <w:delText xml:space="preserve"> </w:delText>
        </w:r>
      </w:del>
      <w:hyperlink w:anchor="exm-mh-bernoulli">
        <w:del w:id="69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agrees with the exact posterior mean,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and so with the maximum likelihood estimate to about two decimal places.</w:delText>
        </w:r>
      </w:del>
    </w:p>
    <w:p>
      <w:pPr>
        <w:pStyle w:val="FirstParagraph"/>
      </w:pPr>
      <w:ins w:id="701" w:author="PR Preview" w:date="2026-01-01T00:00:00Z">
        <w:r>
          <w:t xml:space="preserve">The two estimates differ only through the prior’s pseudo-counts,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and so do the two measures of spread;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both differences vanish as</w:t>
        </w:r>
      </w:ins>
      <w:ins w:id="706" w:author="PR Preview" w:date="2026-01-01T00:00:00Z">
        <w:r>
          <w:t xml:space="preserve"> </w:t>
        </w:r>
      </w:ins>
      <m:oMath>
        <m:r>
          <m:t>n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grows.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The MCMC mean in</w:t>
        </w:r>
      </w:ins>
      <w:ins w:id="711" w:author="PR Preview" w:date="2026-01-01T00:00:00Z">
        <w:r>
          <w:t xml:space="preserve"> </w:t>
        </w:r>
      </w:ins>
      <w:hyperlink w:anchor="exm-mh-bernoulli">
        <w:ins w:id="71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agrees with the exact posterior mean,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and so with the maximum likelihood estimate to about two decimal places.</w:t>
        </w:r>
      </w:ins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del w:id="717" w:author="PR Preview" w:date="2026-01-01T00:00:00Z">
        <w:r>
          <w:delText xml:space="preserve">How a model is written affects how well its sampler mixes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(Dobson and Barnett 2018, chap. 13, p. 299)</w:delText>
        </w:r>
      </w:del>
      <w:del w:id="720" w:author="PR Preview" w:date="2026-01-01T00:00:00Z">
        <w:r>
          <w:delText xml:space="preserve">.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Two algebraically equivalent parameterizations of the same model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can produce chains with very different autocorrelation.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Strong posterior correlation between parameters slows a sampler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that updates one component at a time,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because each update can move only a short way along a narrow, tilted ridge,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as</w:delText>
        </w:r>
      </w:del>
      <w:del w:id="733" w:author="PR Preview" w:date="2026-01-01T00:00:00Z">
        <w:r>
          <w:delText xml:space="preserve"> </w:delText>
        </w:r>
      </w:del>
      <w:hyperlink w:anchor="exm-gibbs-bivariate-normal">
        <w:del w:id="734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shows with</w:delText>
        </w:r>
      </w:del>
      <w:del w:id="737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=</m:t>
        </m:r>
        <m:r>
          <m:t>0.99</m:t>
        </m:r>
      </m:oMath>
      <w:del w:id="738" w:author="PR Preview" w:date="2026-01-01T00:00:00Z">
        <w:r>
          <w:delText xml:space="preserve">.</w:delText>
        </w:r>
      </w:del>
    </w:p>
    <w:p>
      <w:pPr>
        <w:pStyle w:val="FirstParagraph"/>
      </w:pPr>
      <w:ins w:id="739" w:author="PR Preview" w:date="2026-01-01T00:00:00Z">
        <w:r>
          <w:t xml:space="preserve">How a model is written affects how well its sampler mixes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(Dobson and Barnett 2018, chap. 13, p. 299)</w:t>
        </w:r>
      </w:ins>
      <w:ins w:id="742" w:author="PR Preview" w:date="2026-01-01T00:00:00Z">
        <w:r>
          <w:t xml:space="preserve">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Two algebraically equivalent parameterizations of the same model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can produce chains with very different autocorrelation.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Strong posterior correlation between parameters slows a sampler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that updates one component at a time,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because each update can move only a short way along a narrow, tilted ridge,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as</w:t>
        </w:r>
      </w:ins>
      <w:ins w:id="755" w:author="PR Preview" w:date="2026-01-01T00:00:00Z">
        <w:r>
          <w:t xml:space="preserve"> </w:t>
        </w:r>
      </w:ins>
      <w:hyperlink w:anchor="exm-gibbs-bivariate-normal">
        <w:ins w:id="756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shows with</w:t>
        </w:r>
      </w:ins>
      <w:ins w:id="759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=</m:t>
        </m:r>
        <m:r>
          <m:t>0.99</m:t>
        </m:r>
      </m:oMath>
      <w:ins w:id="760" w:author="PR Preview" w:date="2026-01-01T00:00:00Z">
        <w:r>
          <w:t xml:space="preserve">.</w:t>
        </w:r>
      </w:ins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del w:id="761" w:author="PR Preview" w:date="2026-01-01T00:00:00Z">
        <w:r>
          <w:rPr>
            <w:b/>
            <w:bCs/>
          </w:rPr>
          <w:delText xml:space="preserve">Example 11 (DIC for the Bernoulli model)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For</w:delText>
        </w:r>
      </w:del>
      <w:del w:id="764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successes in</w:delText>
        </w:r>
      </w:del>
      <w:del w:id="76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trials,</w:delText>
        </w:r>
      </w:del>
      <w:del w:id="77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771" w:author="PR Preview" w:date="2026-01-01T00:00:00Z">
        <w:r>
          <w:delText xml:space="preserve">.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We estimate</w:delText>
        </w:r>
      </w:del>
      <w:del w:id="77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and</w:delText>
        </w:r>
      </w:del>
      <w:del w:id="77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π</m:t>
            </m:r>
          </m:e>
        </m:acc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from 5,000 draws from the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posterior of</w:delText>
        </w:r>
      </w:del>
      <w:del w:id="783" w:author="PR Preview" w:date="2026-01-01T00:00:00Z">
        <w:r>
          <w:delText xml:space="preserve"> </w:delText>
        </w:r>
      </w:del>
      <w:hyperlink r:id="rId11">
        <w:del w:id="784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785" w:author="PR Preview" w:date="2026-01-01T00:00:00Z">
        <w:r>
          <w:delText xml:space="preserve">:</w:delText>
        </w:r>
      </w:del>
    </w:p>
    <w:p>
      <w:pPr>
        <w:pStyle w:val="BodyText"/>
      </w:pPr>
      <w:ins w:id="786" w:author="PR Preview" w:date="2026-01-01T00:00:00Z">
        <w:r>
          <w:rPr>
            <w:b/>
            <w:bCs/>
          </w:rPr>
          <w:t xml:space="preserve">Example 12 (DIC for the Bernoulli model)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For</w:t>
        </w:r>
      </w:ins>
      <w:ins w:id="78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successes in</w:t>
        </w:r>
      </w:ins>
      <w:ins w:id="79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trials,</w:t>
        </w:r>
      </w:ins>
      <w:ins w:id="79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96" w:author="PR Preview" w:date="2026-01-01T00:00:00Z">
        <w:r>
          <w:t xml:space="preserve">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We estimate</w:t>
        </w:r>
      </w:ins>
      <w:ins w:id="79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t>D</m:t>
            </m:r>
          </m:e>
        </m:ba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and</w:t>
        </w:r>
      </w:ins>
      <w:ins w:id="80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π</m:t>
            </m:r>
          </m:e>
        </m:acc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from 5,000 draws from the</w:t>
        </w:r>
      </w:ins>
      <w:ins w:id="805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posterior of</w:t>
        </w:r>
      </w:ins>
      <w:ins w:id="808" w:author="PR Preview" w:date="2026-01-01T00:00:00Z">
        <w:r>
          <w:t xml:space="preserve"> </w:t>
        </w:r>
      </w:ins>
      <w:hyperlink r:id="rId11">
        <w:ins w:id="809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810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2026-10-09T09:00:52Z</dcterms:created>
  <dcterms:modified xsi:type="dcterms:W3CDTF">2026-10-09T09:00:52Z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