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2026-10-26 16:14:21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16:15:12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Section 24.2 of Lange’s textbook</w:t>
      </w:r>
      <w:r>
        <w:t xml:space="preserve"> </w:t>
      </w:r>
      <w:r>
        <w:t xml:space="preserve">[10]</w:t>
      </w:r>
      <w:r>
        <w:t xml:space="preserve"> </w:t>
      </w:r>
      <w:r>
        <w:t xml:space="preserve">covers permutation tests,</w:t>
      </w:r>
      <w:r>
        <w:t xml:space="preserve"> </w:t>
      </w:r>
      <w:r>
        <w:t xml:space="preserve">with an emphasis on computation.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Start w:id="71" w:name="ref-lange2010numer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0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70" Type="http://schemas.openxmlformats.org/officeDocument/2006/relationships/hyperlink" Target="https://doi.org/10.1007/978-1-4419-5945-4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70" Type="http://schemas.openxmlformats.org/officeDocument/2006/relationships/hyperlink" Target="https://doi.org/10.1007/978-1-4419-5945-4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2026-10-26T23:30:30Z</dcterms:created>
  <dcterms:modified xsi:type="dcterms:W3CDTF">2026-10-26T23:30:30Z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16:15:12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