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2026-10-15 14:34:20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14:42:18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(2019, sec. 6.1, pp. 233–244)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(2007, secs. 10.4–10.5, pp. 392–401)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(2019, sec. 6.2, pp. 245–255)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(2007, sec. 10.2.3, pp. 385–388)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10.3, pp. 389–391)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10.6, pp. 402–403)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(2007, sec. 10.7, pp. 404–406)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3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250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2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bookmarkEnd w:id="122"/>
    <w:bookmarkStart w:id="123" w:name="rem-source-standardiza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(2021, sec. 4.7.6, p. 183)</w:t>
      </w:r>
      <w:r>
        <w:t xml:space="preserve">.</w:t>
      </w:r>
      <w:r>
        <w:t xml:space="preserve"> </w:t>
      </w:r>
      <w:r>
        <w:t xml:space="preserve">Géron (2017, ch. 2)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(2021)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mean 0 and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(2021, sec. 4.7.6, p. 183)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bookmarkEnd w:id="128"/>
    <w:bookmarkStart w:id="129" w:name="rem-source-min-max-scaling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Min-max scaling). </w:t>
      </w:r>
      <w:r>
        <w:t xml:space="preserve">Géron (2017, ch. 2)</w:t>
      </w:r>
      <w:r>
        <w:t xml:space="preserve">.</w:t>
      </w:r>
    </w:p>
    <w:bookmarkEnd w:id="129"/>
    <w:bookmarkStart w:id="130" w:name="rem-min-max-outliers"/>
    <w:p>
      <w:pPr>
        <w:pStyle w:val="BodyText"/>
      </w:pPr>
      <w:r>
        <w:rPr>
          <w:i/>
          <w:iCs/>
        </w:rPr>
        <w:t xml:space="preserve">Remark 9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0"/>
    <w:bookmarkStart w:id="131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1"/>
    <w:bookmarkEnd w:id="132"/>
    <w:bookmarkEnd w:id="133"/>
    <w:bookmarkStart w:id="135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4"/>
        </w:tc>
      </w:tr>
    </w:tbl>
    <w:bookmarkEnd w:id="135"/>
    <w:bookmarkStart w:id="146" w:name="references"/>
    <w:p>
      <w:pPr>
        <w:pStyle w:val="Heading2"/>
      </w:pPr>
      <w:r>
        <w:t xml:space="preserve">References</w:t>
      </w:r>
    </w:p>
    <w:bookmarkStart w:id="145" w:name="refs"/>
    <w:bookmarkStart w:id="136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6"/>
    <w:bookmarkStart w:id="13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7"/>
    <w:bookmarkStart w:id="139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8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9"/>
    <w:bookmarkStart w:id="14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40"/>
    <w:bookmarkStart w:id="142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1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2"/>
    <w:bookmarkStart w:id="14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2" Type="http://schemas.openxmlformats.org/officeDocument/2006/relationships/image" Target="media/rId92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6" Type="http://schemas.openxmlformats.org/officeDocument/2006/relationships/image" Target="media/rId96.png"/><Relationship Id="rId100" Type="http://schemas.openxmlformats.org/officeDocument/2006/relationships/image" Target="media/rId100.png"/><Relationship Id="rId111" Type="http://schemas.openxmlformats.org/officeDocument/2006/relationships/image" Target="media/rId111.png"/><Relationship Id="rId115" Type="http://schemas.openxmlformats.org/officeDocument/2006/relationships/image" Target="media/rId115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8" Type="http://schemas.openxmlformats.org/officeDocument/2006/relationships/hyperlink" Target="correlation-regression.qmd#def-population-correlation" TargetMode="External"/><Relationship Id="rId141" Type="http://schemas.openxmlformats.org/officeDocument/2006/relationships/hyperlink" Target="https://doi.org/10.1001/jama.1975.03260080034016" TargetMode="External"/><Relationship Id="rId138" Type="http://schemas.openxmlformats.org/officeDocument/2006/relationships/hyperlink" Target="https://doi.org/10.1007/978-1-0716-1418-1" TargetMode="External"/><Relationship Id="rId143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correlation-regression.qmd#def-population-correlation" TargetMode="External"/><Relationship Id="rId141" Type="http://schemas.openxmlformats.org/officeDocument/2006/relationships/hyperlink" Target="https://doi.org/10.1001/jama.1975.03260080034016" TargetMode="External"/><Relationship Id="rId138" Type="http://schemas.openxmlformats.org/officeDocument/2006/relationships/hyperlink" Target="https://doi.org/10.1007/978-1-0716-1418-1" TargetMode="External"/><Relationship Id="rId143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2026-10-15T21:59:12Z</dcterms:created>
  <dcterms:modified xsi:type="dcterms:W3CDTF">2026-10-15T21:59:12Z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14:42:18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