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2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6.png" ContentType="image/png"/>
  <Override PartName="/word/media/rId100.png" ContentType="image/png"/>
  <Override PartName="/word/media/rId111.png" ContentType="image/png"/>
  <Override PartName="/word/media/rId115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2026-10-15 14:42:18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 (first quartile, third quartile, 25th percentile, 75th percentile))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quartiles</w:t>
      </w:r>
      <w:r>
        <w:t xml:space="preserve"> </w:t>
      </w:r>
      <w:r>
        <w:t xml:space="preserve">are 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,</w:t>
      </w:r>
      <w:r>
        <w:t xml:space="preserve"> </w:t>
      </w:r>
      <w:r>
        <w:t xml:space="preserve">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).</w:t>
      </w:r>
      <w:r>
        <w:t xml:space="preserve"> </w:t>
      </w:r>
      <w:r>
        <w:t xml:space="preserve">The first quartile is also called the</w:t>
      </w:r>
      <w:r>
        <w:t xml:space="preserve"> </w:t>
      </w:r>
      <w:r>
        <w:rPr>
          <w:b/>
          <w:bCs/>
        </w:rPr>
        <w:t xml:space="preserve">25th percentile</w:t>
      </w:r>
      <w:r>
        <w:t xml:space="preserve">,</w:t>
      </w:r>
      <w:r>
        <w:t xml:space="preserve"> </w:t>
      </w:r>
      <w:r>
        <w:t xml:space="preserve">and the third quartile is also called the</w:t>
      </w:r>
      <w:r>
        <w:t xml:space="preserve"> </w:t>
      </w:r>
      <w:r>
        <w:rPr>
          <w:b/>
          <w:bCs/>
        </w:rPr>
        <w:t xml:space="preserve">75th percentile</w:t>
      </w:r>
      <w:r>
        <w:t xml:space="preserve">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p>
      <w:pPr>
        <w:pStyle w:val="Compact"/>
        <w:numPr>
          <w:ilvl w:val="0"/>
          <w:numId w:val="1004"/>
        </w:numPr>
      </w:pPr>
      <w:r>
        <w:t xml:space="preserve">Hogg et al. (2019, sec. 6.1, pp. 233–244)</w:t>
      </w:r>
      <w:r>
        <w:t xml:space="preserve"> </w:t>
      </w:r>
      <w:r>
        <w:t xml:space="preserve">covers descriptive statistics.</w:t>
      </w:r>
    </w:p>
    <w:p>
      <w:pPr>
        <w:pStyle w:val="Compact"/>
        <w:numPr>
          <w:ilvl w:val="0"/>
          <w:numId w:val="1004"/>
        </w:numPr>
      </w:pPr>
      <w:r>
        <w:t xml:space="preserve">Rice (2007, secs. 10.4–10.5, pp. 392–401)</w:t>
      </w:r>
      <w:r>
        <w:t xml:space="preserve"> </w:t>
      </w:r>
      <w:r>
        <w:t xml:space="preserve">covers measures of location and dispersion.</w:t>
      </w:r>
    </w:p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 (box-and-whisker plot))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box-and-whisker plot</w:t>
      </w:r>
      <w:r>
        <w:t xml:space="preserve">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5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5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Hogg et al. (2019, sec. 6.2, pp. 245–255)</w:t>
      </w:r>
      <w:r>
        <w:t xml:space="preserve"> </w:t>
      </w:r>
      <w:r>
        <w:t xml:space="preserve">covers exploratory data analysis.</w:t>
      </w:r>
    </w:p>
    <w:p>
      <w:pPr>
        <w:pStyle w:val="Compact"/>
        <w:numPr>
          <w:ilvl w:val="0"/>
          <w:numId w:val="1006"/>
        </w:numPr>
      </w:pPr>
      <w:r>
        <w:t xml:space="preserve">Rice (2007, sec. 10.2.3, pp. 385–388)</w:t>
      </w:r>
      <w:r>
        <w:t xml:space="preserve"> </w:t>
      </w:r>
      <w:r>
        <w:t xml:space="preserve">covers quantile-quantile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10.3, pp. 389–391)</w:t>
      </w:r>
      <w:r>
        <w:t xml:space="preserve"> </w:t>
      </w:r>
      <w:r>
        <w:t xml:space="preserve">covers histograms, density curves and stem-and-leaf plots.</w:t>
      </w:r>
    </w:p>
    <w:p>
      <w:pPr>
        <w:pStyle w:val="Compact"/>
        <w:numPr>
          <w:ilvl w:val="0"/>
          <w:numId w:val="1006"/>
        </w:numPr>
      </w:pPr>
      <w:r>
        <w:t xml:space="preserve">Rice (2007, sec. 10.6, pp. 402–403)</w:t>
      </w:r>
      <w:r>
        <w:t xml:space="preserve"> </w:t>
      </w:r>
      <w:r>
        <w:t xml:space="preserve">covers boxplots.</w:t>
      </w:r>
    </w:p>
    <w:bookmarkEnd w:id="80"/>
    <w:bookmarkEnd w:id="81"/>
    <w:bookmarkStart w:id="110" w:name="bivariate-relationships"/>
    <w:p>
      <w:pPr>
        <w:pStyle w:val="Heading2"/>
      </w:pPr>
      <w:r>
        <w:t xml:space="preserve">4 Bivariate relationships</w:t>
      </w:r>
    </w:p>
    <w:bookmarkStart w:id="95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7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7"/>
    <w:bookmarkStart w:id="89" w:name="rem-pearson-r-estimates-population"/>
    <w:p>
      <w:pPr>
        <w:pStyle w:val="BodyText"/>
      </w:pPr>
      <w:r>
        <w:rPr>
          <w:i/>
          <w:iCs/>
        </w:rPr>
        <w:t xml:space="preserve">Remark 4</w:t>
      </w:r>
      <w:r>
        <w:t xml:space="preserve"> (The Pearson correlation coefficient estimates the population correlation). </w:t>
      </w:r>
      <w:r>
        <w:t xml:space="preserve">The Pearson correlation coefficient is a sample estimate of the</w:t>
      </w:r>
      <w:r>
        <w:t xml:space="preserve"> </w:t>
      </w:r>
      <w:hyperlink r:id="rId88">
        <w:r>
          <w:rPr>
            <w:rStyle w:val="Hyperlink"/>
          </w:rPr>
          <w:t xml:space="preserve">population correlation</w:t>
        </w:r>
      </w:hyperlink>
      <w:r>
        <w:t xml:space="preserve">.</w:t>
      </w:r>
    </w:p>
    <w:bookmarkEnd w:id="89"/>
    <w:bookmarkStart w:id="90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9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1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1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3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4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p>
      <w:pPr>
        <w:pStyle w:val="BodyText"/>
      </w:pPr>
      <w:r>
        <w:t xml:space="preserve">Rice (2007, sec. 10.7, pp. 404–406)</w:t>
      </w:r>
      <w:r>
        <w:t xml:space="preserve"> </w:t>
      </w:r>
      <w:r>
        <w:t xml:space="preserve">covers scatterplots.</w:t>
      </w:r>
    </w:p>
    <w:bookmarkEnd w:id="95"/>
    <w:bookmarkStart w:id="105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9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9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0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3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4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4"/>
        </w:tc>
      </w:tr>
    </w:tbl>
    <w:bookmarkEnd w:id="105"/>
    <w:bookmarkStart w:id="109" w:name="two-categorical-variables"/>
    <w:p>
      <w:pPr>
        <w:pStyle w:val="Heading3"/>
      </w:pPr>
      <w:r>
        <w:t xml:space="preserve">4.3 Two categorical variables</w:t>
      </w:r>
    </w:p>
    <w:bookmarkStart w:id="106" w:name="def-contingency-table"/>
    <w:p>
      <w:pPr>
        <w:pStyle w:val="FirstParagraph"/>
      </w:pPr>
      <w:r>
        <w:rPr>
          <w:b/>
          <w:bCs/>
        </w:rPr>
        <w:t xml:space="preserve">Definition 20 (Contingency table (cross-tabulation))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6"/>
    <w:bookmarkStart w:id="108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7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7"/>
        </w:tc>
      </w:tr>
    </w:tbl>
    <w:bookmarkEnd w:id="108"/>
    <w:bookmarkEnd w:id="109"/>
    <w:bookmarkEnd w:id="110"/>
    <w:bookmarkStart w:id="133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9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4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2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3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1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4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8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scale_x_log10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breaks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FunctionTok"/>
                    </w:rPr>
                    <w:t xml:space="preserve">c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DecValTok"/>
                    </w:rPr>
                    <w:t xml:space="preserve">100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140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200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DecValTok"/>
                    </w:rPr>
                    <w:t xml:space="preserve">250</w:t>
                  </w:r>
                  <w:r>
                    <w:rPr>
                      <w:rStyle w:val="NormalTok"/>
                    </w:rPr>
                    <w:t xml:space="preserve">))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(mmHg), log scale"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6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7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5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8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scales.</w:t>
      </w:r>
      <w:r>
        <w:t xml:space="preserve"> </w:t>
      </w:r>
      <w:r>
        <w:t xml:space="preserve">Both panels label the axis in mmHg;</w:t>
      </w:r>
      <w:r>
        <w:t xml:space="preserve"> </w:t>
      </w:r>
      <w:r>
        <w:t xml:space="preserve">the right panel spaces the values logarithmically,</w:t>
      </w:r>
      <w:r>
        <w:t xml:space="preserve"> </w:t>
      </w:r>
      <w:r>
        <w:t xml:space="preserve">so its histogram is the histogram of</w:t>
      </w:r>
      <w:r>
        <w:t xml:space="preserve"> </w:t>
      </w:r>
      <w:r>
        <w:rPr>
          <w:rStyle w:val="VerbatimChar"/>
        </w:rPr>
        <w:t xml:space="preserve">lnsbp</w:t>
      </w:r>
      <w:r>
        <w:t xml:space="preserve">.</w:t>
      </w:r>
    </w:p>
    <w:bookmarkEnd w:id="119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2" w:name="sec-rescaling"/>
    <w:p>
      <w:pPr>
        <w:pStyle w:val="Heading3"/>
      </w:pPr>
      <w:r>
        <w:t xml:space="preserve">5.1 Rescaling a variable</w:t>
      </w:r>
    </w:p>
    <w:bookmarkStart w:id="120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8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8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8"/>
        </w:numPr>
      </w:pPr>
      <w:r>
        <w:t xml:space="preserve">What are the units of your answer to part 2?</w:t>
      </w:r>
    </w:p>
    <w:bookmarkEnd w:id="120"/>
    <w:bookmarkStart w:id="121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9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9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9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1"/>
    <w:bookmarkStart w:id="122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bookmarkEnd w:id="122"/>
    <w:bookmarkStart w:id="123" w:name="rem-source-standardization"/>
    <w:p>
      <w:pPr>
        <w:pStyle w:val="FirstParagraph"/>
      </w:pPr>
      <w:r>
        <w:rPr>
          <w:i/>
          <w:iCs/>
        </w:rPr>
        <w:t xml:space="preserve">Remark 5</w:t>
      </w:r>
      <w:r>
        <w:t xml:space="preserve"> (Source: Standardization). </w:t>
      </w:r>
      <w:r>
        <w:t xml:space="preserve">James et al. (2021, sec. 4.7.6, p. 183)</w:t>
      </w:r>
      <w:r>
        <w:t xml:space="preserve">.</w:t>
      </w:r>
      <w:r>
        <w:t xml:space="preserve"> </w:t>
      </w:r>
      <w:r>
        <w:t xml:space="preserve">Géron (2017, ch. 2)</w:t>
      </w:r>
      <w:r>
        <w:t xml:space="preserve"> </w:t>
      </w:r>
      <w:r>
        <w:t xml:space="preserve">describes the same operation but says it divides by the variance;</w:t>
      </w:r>
      <w:r>
        <w:t xml:space="preserve"> </w:t>
      </w:r>
      <w:r>
        <w:t xml:space="preserve">the standard deviation is used here, as in</w:t>
      </w:r>
      <w:r>
        <w:t xml:space="preserve"> </w:t>
      </w:r>
      <w:r>
        <w:t xml:space="preserve">James et al. (2021)</w:t>
      </w:r>
      <w:r>
        <w:t xml:space="preserve">.</w:t>
      </w:r>
    </w:p>
    <w:bookmarkEnd w:id="123"/>
    <w:bookmarkStart w:id="124" w:name="rem-standardization-units"/>
    <w:p>
      <w:pPr>
        <w:pStyle w:val="BodyText"/>
      </w:pPr>
      <w:r>
        <w:rPr>
          <w:i/>
          <w:iCs/>
        </w:rPr>
        <w:t xml:space="preserve">Remark 6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4"/>
    <w:bookmarkStart w:id="125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bookmarkEnd w:id="12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6" w:name="rem-source-standardized-mean-sd"/>
    <w:p>
      <w:pPr>
        <w:pStyle w:val="BodyText"/>
      </w:pPr>
      <w:r>
        <w:rPr>
          <w:i/>
          <w:iCs/>
        </w:rPr>
        <w:t xml:space="preserve">Remark 7</w:t>
      </w:r>
      <w:r>
        <w:t xml:space="preserve"> (Source: Standardized values have mean 0 and standard deviation 1). </w:t>
      </w:r>
      <w:r>
        <w:t xml:space="preserve">Stated for the standardized Caravan variables in</w:t>
      </w:r>
      <w:r>
        <w:t xml:space="preserve"> </w:t>
      </w:r>
      <w:r>
        <w:t xml:space="preserve">James et al. (2021, sec. 4.7.6, p. 183)</w:t>
      </w:r>
      <w:r>
        <w:t xml:space="preserve">;</w:t>
      </w:r>
      <w:r>
        <w:t xml:space="preserve"> </w:t>
      </w:r>
      <w:r>
        <w:t xml:space="preserve">the proof is the elementary calculation.</w:t>
      </w:r>
    </w:p>
    <w:bookmarkEnd w:id="126"/>
    <w:bookmarkStart w:id="127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7"/>
    <w:bookmarkStart w:id="128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bookmarkEnd w:id="128"/>
    <w:bookmarkStart w:id="129" w:name="rem-source-min-max-scaling"/>
    <w:p>
      <w:pPr>
        <w:pStyle w:val="FirstParagraph"/>
      </w:pPr>
      <w:r>
        <w:rPr>
          <w:i/>
          <w:iCs/>
        </w:rPr>
        <w:t xml:space="preserve">Remark 8</w:t>
      </w:r>
      <w:r>
        <w:t xml:space="preserve"> (Source: Min-max scaling). </w:t>
      </w:r>
      <w:r>
        <w:t xml:space="preserve">Géron (2017, ch. 2)</w:t>
      </w:r>
      <w:r>
        <w:t xml:space="preserve">.</w:t>
      </w:r>
    </w:p>
    <w:bookmarkEnd w:id="129"/>
    <w:bookmarkStart w:id="130" w:name="rem-min-max-outliers"/>
    <w:p>
      <w:pPr>
        <w:pStyle w:val="BodyText"/>
      </w:pPr>
      <w:r>
        <w:rPr>
          <w:i/>
          <w:iCs/>
        </w:rPr>
        <w:t xml:space="preserve">Remark 9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0"/>
    <w:bookmarkStart w:id="131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1"/>
    <w:bookmarkEnd w:id="132"/>
    <w:bookmarkEnd w:id="133"/>
    <w:bookmarkStart w:id="135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11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11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11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2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2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2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4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4"/>
        </w:tc>
      </w:tr>
    </w:tbl>
    <w:bookmarkEnd w:id="135"/>
    <w:bookmarkStart w:id="146" w:name="references"/>
    <w:p>
      <w:pPr>
        <w:pStyle w:val="Heading2"/>
      </w:pPr>
      <w:r>
        <w:t xml:space="preserve">References</w:t>
      </w:r>
    </w:p>
    <w:bookmarkStart w:id="145" w:name="refs"/>
    <w:bookmarkStart w:id="136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6"/>
    <w:bookmarkStart w:id="137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137"/>
    <w:bookmarkStart w:id="139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38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39"/>
    <w:bookmarkStart w:id="140" w:name="ref-rice2007mathematical"/>
    <w:p>
      <w:pPr>
        <w:pStyle w:val="Bibliography"/>
      </w:pPr>
      <w:r>
        <w:t xml:space="preserve">Rice, John A. 2007.</w:t>
      </w:r>
      <w:r>
        <w:t xml:space="preserve"> </w:t>
      </w:r>
      <w:r>
        <w:rPr>
          <w:i/>
          <w:iCs/>
        </w:rPr>
        <w:t xml:space="preserve">Mathematical Statistics and Data Analysis</w:t>
      </w:r>
      <w:r>
        <w:t xml:space="preserve">. 3rd ed. Cengage Learning.</w:t>
      </w:r>
    </w:p>
    <w:bookmarkEnd w:id="140"/>
    <w:bookmarkStart w:id="142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1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2"/>
    <w:bookmarkStart w:id="14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4"/>
    <w:bookmarkEnd w:id="145"/>
    <w:bookmarkEnd w:id="14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2" Target="media/rId92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6" Target="media/rId96.png" /><Relationship Type="http://schemas.openxmlformats.org/officeDocument/2006/relationships/image" Id="rId100" Target="media/rId100.png" /><Relationship Type="http://schemas.openxmlformats.org/officeDocument/2006/relationships/image" Id="rId111" Target="media/rId111.png" /><Relationship Type="http://schemas.openxmlformats.org/officeDocument/2006/relationships/image" Id="rId115" Target="media/rId115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8" Target="correlation-regression.qmd#def-population-correlation" TargetMode="External" /><Relationship Type="http://schemas.openxmlformats.org/officeDocument/2006/relationships/hyperlink" Id="rId141" Target="https://doi.org/10.1001/jama.1975.03260080034016" TargetMode="External" /><Relationship Type="http://schemas.openxmlformats.org/officeDocument/2006/relationships/hyperlink" Id="rId138" Target="https://doi.org/10.1007/978-1-0716-1418-1" TargetMode="External" /><Relationship Type="http://schemas.openxmlformats.org/officeDocument/2006/relationships/hyperlink" Id="rId143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2026-10-15T21:59:12Z</dcterms:created>
  <dcterms:modified xsi:type="dcterms:W3CDTF">2026-10-15T21:59:12Z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14:42:18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