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  <Override PartName="/word/media/rId120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4.png" ContentType="image/png"/>
  <Override PartName="/word/media/rId98.png" ContentType="image/png"/>
  <Override PartName="/word/media/rId109.png" ContentType="image/png"/>
  <Override PartName="/word/media/rId113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2026-10-12 20:15:17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8" w:name="bivariate-relationships"/>
    <w:p>
      <w:pPr>
        <w:pStyle w:val="Heading2"/>
      </w:pPr>
      <w:r>
        <w:t xml:space="preserve">4 Bivariate relationships</w:t>
      </w:r>
    </w:p>
    <w:bookmarkStart w:id="93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8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9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3"/>
    <w:bookmarkStart w:id="103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7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1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2"/>
        </w:tc>
      </w:tr>
    </w:tbl>
    <w:bookmarkEnd w:id="103"/>
    <w:bookmarkStart w:id="107" w:name="two-categorical-variables"/>
    <w:p>
      <w:pPr>
        <w:pStyle w:val="Heading3"/>
      </w:pPr>
      <w:r>
        <w:t xml:space="preserve">4.3 Two categorical variables</w:t>
      </w:r>
    </w:p>
    <w:bookmarkStart w:id="104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4"/>
    <w:bookmarkStart w:id="106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5"/>
        </w:tc>
      </w:tr>
    </w:tbl>
    <w:bookmarkEnd w:id="106"/>
    <w:bookmarkEnd w:id="107"/>
    <w:bookmarkEnd w:id="108"/>
    <w:bookmarkStart w:id="135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7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2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7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4" w:name="sec-rescaling"/>
    <w:p>
      <w:pPr>
        <w:pStyle w:val="Heading3"/>
      </w:pPr>
      <w:r>
        <w:t xml:space="preserve">5.1 Rescaling a variable</w:t>
      </w:r>
    </w:p>
    <w:bookmarkStart w:id="118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8"/>
    <w:bookmarkStart w:id="119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9"/>
    <w:bookmarkStart w:id="123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8"/>
    <w:bookmarkStart w:id="131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1"/>
    <w:bookmarkStart w:id="132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2"/>
    <w:bookmarkStart w:id="133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3"/>
    <w:bookmarkEnd w:id="134"/>
    <w:bookmarkEnd w:id="135"/>
    <w:bookmarkStart w:id="137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6"/>
        </w:tc>
      </w:tr>
    </w:tbl>
    <w:bookmarkEnd w:id="137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8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8"/>
    <w:bookmarkStart w:id="1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image" Id="rId120" Target="media/rId120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9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9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2026-10-13T03:23:40Z</dcterms:created>
  <dcterms:modified xsi:type="dcterms:W3CDTF">2026-10-13T03:23:40Z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