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51.png" ContentType="image/png"/>
  <Override PartName="/word/media/rId57.png" ContentType="image/png"/>
  <Override PartName="/word/media/rId63.png" ContentType="image/png"/>
  <Override PartName="/word/media/rId70.png" ContentType="image/png"/>
  <Override PartName="/word/media/rId81.png" ContentType="image/png"/>
  <Override PartName="/word/media/rId85.png" ContentType="image/png"/>
  <Override PartName="/word/media/rId96.png" ContentType="image/png"/>
  <Override PartName="/word/media/rId100.png" ContentType="image/png"/>
  <Override PartName="/word/media/rId39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2026-09-28 02:56:03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chap. 2)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7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0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p>
      <w:pPr>
        <w:pStyle w:val="FirstParagraph"/>
      </w:pP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Start w:id="24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4"/>
    <w:bookmarkStart w:id="26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6"/>
    <w:p>
      <w:pPr>
        <w:pStyle w:val="BodyText"/>
      </w:pP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these notes’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Start w:id="28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28"/>
    <w:bookmarkStart w:id="29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29"/>
    <w:bookmarkEnd w:id="30"/>
    <w:bookmarkStart w:id="32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1"/>
        </w:tc>
      </w:tr>
    </w:tbl>
    <w:bookmarkEnd w:id="32"/>
    <w:bookmarkStart w:id="36" w:name="binary-and-categorical-variables"/>
    <w:p>
      <w:pPr>
        <w:pStyle w:val="Heading3"/>
      </w:pPr>
      <w:r>
        <w:t xml:space="preserve">2.4 Binary and categorical variables</w:t>
      </w:r>
    </w:p>
    <w:bookmarkStart w:id="33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3"/>
    <w:bookmarkStart w:id="34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4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5"/>
        </w:tc>
      </w:tr>
    </w:tbl>
    <w:bookmarkEnd w:id="36"/>
    <w:bookmarkEnd w:id="37"/>
    <w:bookmarkStart w:id="68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3" w:name="histograms"/>
    <w:p>
      <w:pPr>
        <w:pStyle w:val="Heading3"/>
      </w:pPr>
      <w:r>
        <w:t xml:space="preserve">3.1 Histograms</w:t>
      </w:r>
    </w:p>
    <w:bookmarkStart w:id="38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38"/>
    <w:p>
      <w:pPr>
        <w:pStyle w:val="BodyText"/>
      </w:pPr>
      <w:r>
        <w:t xml:space="preserve">The intervals are often called</w:t>
      </w:r>
      <w:r>
        <w:t xml:space="preserve"> </w:t>
      </w:r>
      <w:r>
        <w:rPr>
          <w:i/>
          <w:iCs/>
        </w:rPr>
        <w:t xml:space="preserve">bins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3"/>
    <w:bookmarkStart w:id="49" w:name="density-plots"/>
    <w:p>
      <w:pPr>
        <w:pStyle w:val="Heading3"/>
      </w:pPr>
      <w:r>
        <w:t xml:space="preserve">3.2 Density plots</w:t>
      </w:r>
    </w:p>
    <w:bookmarkStart w:id="44" w:name="def-density-plot"/>
    <w:p>
      <w:pPr>
        <w:pStyle w:val="FirstParagraph"/>
      </w:pPr>
      <w:r>
        <w:rPr>
          <w:b/>
          <w:bCs/>
        </w:rPr>
        <w:t xml:space="preserve">Definition 9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8"/>
        </w:tc>
      </w:tr>
    </w:tbl>
    <w:bookmarkEnd w:id="49"/>
    <w:bookmarkStart w:id="55" w:name="box-plots"/>
    <w:p>
      <w:pPr>
        <w:pStyle w:val="Heading3"/>
      </w:pPr>
      <w:r>
        <w:t xml:space="preserve">3.3 Box plots</w:t>
      </w:r>
    </w:p>
    <w:bookmarkStart w:id="50" w:name="def-boxplot"/>
    <w:p>
      <w:pPr>
        <w:pStyle w:val="FirstParagraph"/>
      </w:pPr>
      <w:r>
        <w:rPr>
          <w:b/>
          <w:bCs/>
        </w:rPr>
        <w:t xml:space="preserve">Definition 10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0"/>
    <w:p>
      <w:pPr>
        <w:pStyle w:val="FirstParagraph"/>
      </w:pP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4"/>
        </w:tc>
      </w:tr>
    </w:tbl>
    <w:bookmarkEnd w:id="55"/>
    <w:bookmarkStart w:id="61" w:name="bar-charts"/>
    <w:p>
      <w:pPr>
        <w:pStyle w:val="Heading3"/>
      </w:pPr>
      <w:r>
        <w:t xml:space="preserve">3.4 Bar charts</w:t>
      </w:r>
    </w:p>
    <w:bookmarkStart w:id="56" w:name="def-bar-chart"/>
    <w:p>
      <w:pPr>
        <w:pStyle w:val="FirstParagraph"/>
      </w:pPr>
      <w:r>
        <w:rPr>
          <w:b/>
          <w:bCs/>
        </w:rPr>
        <w:t xml:space="preserve">Definition 11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0"/>
        </w:tc>
      </w:tr>
    </w:tbl>
    <w:bookmarkEnd w:id="61"/>
    <w:bookmarkStart w:id="67" w:name="normal-quantile-quantile-plots"/>
    <w:p>
      <w:pPr>
        <w:pStyle w:val="Heading3"/>
      </w:pPr>
      <w:r>
        <w:t xml:space="preserve">3.5 Normal quantile-quantile plots</w:t>
      </w:r>
    </w:p>
    <w:bookmarkStart w:id="62" w:name="def-qq-plot"/>
    <w:p>
      <w:pPr>
        <w:pStyle w:val="FirstParagraph"/>
      </w:pPr>
      <w:r>
        <w:rPr>
          <w:b/>
          <w:bCs/>
        </w:rPr>
        <w:t xml:space="preserve">Definition 12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66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67"/>
    <w:bookmarkEnd w:id="68"/>
    <w:bookmarkStart w:id="95" w:name="bivariate-relationships"/>
    <w:p>
      <w:pPr>
        <w:pStyle w:val="Heading2"/>
      </w:pPr>
      <w:r>
        <w:t xml:space="preserve">4 Bivariate relationships</w:t>
      </w:r>
    </w:p>
    <w:bookmarkStart w:id="80" w:name="two-continuous-variables"/>
    <w:p>
      <w:pPr>
        <w:pStyle w:val="Heading3"/>
      </w:pPr>
      <w:r>
        <w:t xml:space="preserve">4.1 Two continuous variables</w:t>
      </w:r>
    </w:p>
    <w:bookmarkStart w:id="69" w:name="def-scatterplot"/>
    <w:p>
      <w:pPr>
        <w:pStyle w:val="FirstParagraph"/>
      </w:pPr>
      <w:r>
        <w:rPr>
          <w:b/>
          <w:bCs/>
        </w:rPr>
        <w:t xml:space="preserve">Definition 13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3"/>
        </w:tc>
      </w:tr>
    </w:tbl>
    <w:bookmarkStart w:id="74" w:name="def-pearson-r"/>
    <w:p>
      <w:pPr>
        <w:pStyle w:val="BodyText"/>
      </w:pPr>
      <w:r>
        <w:rPr>
          <w:b/>
          <w:bCs/>
        </w:rPr>
        <w:t xml:space="preserve">Definition 14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4"/>
    <w:bookmarkStart w:id="75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76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0"/>
    <w:bookmarkStart w:id="90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88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89"/>
        </w:tc>
      </w:tr>
    </w:tbl>
    <w:bookmarkEnd w:id="90"/>
    <w:bookmarkStart w:id="94" w:name="two-categorical-variables"/>
    <w:p>
      <w:pPr>
        <w:pStyle w:val="Heading3"/>
      </w:pPr>
      <w:r>
        <w:t xml:space="preserve">4.3 Two categorical variables</w:t>
      </w:r>
    </w:p>
    <w:bookmarkStart w:id="91" w:name="def-contingency-table"/>
    <w:p>
      <w:pPr>
        <w:pStyle w:val="FirstParagraph"/>
      </w:pPr>
      <w:r>
        <w:rPr>
          <w:b/>
          <w:bCs/>
        </w:rPr>
        <w:t xml:space="preserve">Definition 15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1"/>
    <w:bookmarkStart w:id="93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2"/>
        </w:tc>
      </w:tr>
    </w:tbl>
    <w:bookmarkEnd w:id="93"/>
    <w:bookmarkEnd w:id="94"/>
    <w:bookmarkEnd w:id="95"/>
    <w:bookmarkStart w:id="105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4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9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4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End w:id="105"/>
    <w:bookmarkStart w:id="107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7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7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08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08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6"/>
        </w:tc>
      </w:tr>
    </w:tbl>
    <w:bookmarkEnd w:id="10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10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0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https://doi.org/10.1001/jama.1975.03260080034016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5" Target="nonparametric-models.qmd#def-sample-quantile" TargetMode="External" /><Relationship Type="http://schemas.openxmlformats.org/officeDocument/2006/relationships/hyperlink" Id="rId27" Target="nonparametric-models.qmd#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2026-09-28T10:10:23Z</dcterms:created>
  <dcterms:modified xsi:type="dcterms:W3CDTF">2026-09-28T10:10:23Z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