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mild conditions on its transition probabilities,</w:t>
      </w:r>
      <w:r>
        <w:t xml:space="preserve"> </w:t>
      </w:r>
      <w:r>
        <w:t xml:space="preserve">a Markov chain has a unique stationary distribution,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it,</w:t>
      </w:r>
      <w:r>
        <w:t xml:space="preserve"> </w:t>
      </w:r>
      <w:r>
        <w:t xml:space="preserve">and averages along the chain converge to expectations under it,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(Dobson and Barnett 2018, chap. 13, p. 291)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300)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both estimate the posterior variance,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2026-09-28T10:12:37Z</dcterms:created>
  <dcterms:modified xsi:type="dcterms:W3CDTF">2026-09-28T10:12:37Z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