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5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r>
        <w:t xml:space="preserve">Last modified: 2026-10-14 23:57:22 (PDT)</w:t>
      </w:r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8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7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r>
        <w:rPr>
          <w:b/>
          <w:bCs/>
        </w:rPr>
        <w:t xml:space="preserve">Example 4 (A first-order autoregressive chain)</w:t>
      </w:r>
      <w:r>
        <w:t xml:space="preserve"> </w:t>
      </w:r>
      <w:r>
        <w:t xml:space="preserve">Let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constants,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 the starting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independent of them.</w:t>
      </w:r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1</m:t>
        </m:r>
      </m:oMath>
      <w:r>
        <w:t xml:space="preserve">, let</w:t>
      </w:r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The sequence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first-order autoregressive</w:t>
      </w:r>
      <w:r>
        <w:t xml:space="preserve"> </w:t>
      </w:r>
      <w:r>
        <w:t xml:space="preserve">process.</w:t>
      </w:r>
      <w:r>
        <w:t xml:space="preserve"> </w:t>
      </w:r>
      <w:r>
        <w:t xml:space="preserve">Each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 function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 all of them.</w:t>
      </w:r>
      <w:r>
        <w:t xml:space="preserve"> </w:t>
      </w:r>
      <w:r>
        <w:t xml:space="preserve">So, given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 any earlier values,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which depends only on the current state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sequence is therefore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  <w:r>
        <w:t xml:space="preserve"> </w:t>
      </w:r>
      <w:r>
        <w:t xml:space="preserve">Unlike the chain of</w:t>
      </w:r>
      <w:r>
        <w:t xml:space="preserve"> </w:t>
      </w:r>
      <w:hyperlink w:anchor="exm-two-state-chain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its states can be any real number,</w:t>
      </w:r>
      <w:r>
        <w:t xml:space="preserve"> </w:t>
      </w:r>
      <w:r>
        <w:t xml:space="preserve">so it has a continuous state space,</w:t>
      </w:r>
      <w:r>
        <w:t xml:space="preserve"> </w:t>
      </w:r>
      <w:r>
        <w:t xml:space="preserve">like the chains that MCMC builds for a continuous parameter,</w:t>
      </w:r>
      <w:r>
        <w:t xml:space="preserve"> </w:t>
      </w:r>
      <w:r>
        <w:t xml:space="preserve">whose values lie in the parameter space.</w:t>
      </w:r>
    </w:p>
    <w:bookmarkEnd w:id="23"/>
    <w:bookmarkStart w:id="24" w:name="exr-ar1-stationary"/>
    <w:p>
      <w:pPr>
        <w:pStyle w:val="BodyText"/>
      </w:pPr>
      <w:r>
        <w:rPr>
          <w:b/>
          <w:bCs/>
        </w:rPr>
        <w:t xml:space="preserve">Exercise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find the variance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.</w:t>
      </w:r>
    </w:p>
    <w:bookmarkEnd w:id="24"/>
    <w:bookmarkStart w:id="34" w:name="sol-ar1-stationary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Suppose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a linear combination of independent Gaussian random variables,</w:t>
      </w:r>
      <w:r>
        <w:t xml:space="preserve"> </w:t>
      </w:r>
      <w:r>
        <w:t xml:space="preserve">is Gaussian</w:t>
      </w:r>
      <w:r>
        <w:t xml:space="preserve"> </w:t>
      </w:r>
      <w:r>
        <w:t xml:space="preserve">(Casella and Berger 2002, Corollary 4.6.10)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25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its mean is</w:t>
      </w:r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r>
        <w:t xml:space="preserve">Independent random variables are</w:t>
      </w:r>
      <w:r>
        <w:t xml:space="preserve"> </w:t>
      </w:r>
      <w:hyperlink r:id="rId27">
        <w:r>
          <w:rPr>
            <w:rStyle w:val="Hyperlink"/>
          </w:rPr>
          <w:t xml:space="preserve">uncorrelated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28">
        <w:r>
          <w:rPr>
            <w:rStyle w:val="Hyperlink"/>
          </w:rPr>
          <w:t xml:space="preserve">variance of a sum of two random variables</w:t>
        </w:r>
      </w:hyperlink>
      <w:r>
        <w:t xml:space="preserve">,</w:t>
      </w:r>
      <w:r>
        <w:t xml:space="preserve"> </w:t>
      </w:r>
      <w:r>
        <w:t xml:space="preserve">the variance is</w:t>
      </w:r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is stationary exactly when</w:t>
      </w:r>
      <w:r>
        <w:t xml:space="preserve"> </w:t>
      </w:r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m:oMath>
        <m:r>
          <m:t>v</m:t>
        </m:r>
      </m:oMath>
      <w:r>
        <w:t xml:space="preserve">:</w:t>
      </w:r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r>
        <w:t xml:space="preserve">The stationary distribution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v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r>
        <w:t xml:space="preserve"> </w:t>
      </w:r>
      <w:r>
        <w:t xml:space="preserve">distribution is stationary.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stationary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0.9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0.81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0.19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5.26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 simulated chain started far from</w:t>
      </w:r>
      <w:r>
        <w:t xml:space="preserve"> </w:t>
      </w:r>
      <m:oMath>
        <m:r>
          <m:t>0</m:t>
        </m:r>
      </m:oMath>
      <w:r>
        <w:t xml:space="preserve">, at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has mean near 0 and variance near that value once its first 1,000 values are discarded: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n_iter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100000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theta[t]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kept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theta[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(kept),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stationary_variance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mean            variance stationary_variance </w:t>
      </w:r>
      <w:r>
        <w:br/>
      </w:r>
      <w:r>
        <w:rPr>
          <w:rStyle w:val="CommentTok"/>
        </w:rPr>
        <w:t xml:space="preserve">#&gt;                0.05                5.07                5.26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That a linear combination of independent normal random variables is normal is</w:t>
            </w:r>
            <w:r>
              <w:t xml:space="preserve"> </w:t>
            </w:r>
            <w:r>
              <w:t xml:space="preserve">Casella and Berger (2002, Corollary 4.6.10)</w:t>
            </w:r>
            <w:r>
              <w:t xml:space="preserve">.</w:t>
            </w:r>
          </w:p>
          <w:p/>
        </w:tc>
      </w:tr>
    </w:tbl>
    <w:bookmarkEnd w:id="34"/>
    <w:bookmarkStart w:id="36" w:name="thm-ar1-stationary"/>
    <w:p>
      <w:pPr>
        <w:pStyle w:val="BodyText"/>
      </w:pPr>
      <w:r>
        <w:rPr>
          <w:b/>
          <w:bCs/>
        </w:rPr>
        <w:t xml:space="preserve">Theorem 1 (Stationary distribution of the autoregressive chain)</w:t>
      </w:r>
      <w:r>
        <w:t xml:space="preserve"> </w:t>
      </w:r>
      <w:r>
        <w:t xml:space="preserve">For the chain of</w:t>
      </w:r>
      <w:r>
        <w:t xml:space="preserve"> </w:t>
      </w:r>
      <w:hyperlink w:anchor="exm-ar1-chain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 normal distribution with mean 0 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:</w:t>
      </w:r>
    </w:p>
    <w:p>
      <w:pPr>
        <w:pStyle w:val="BodyText"/>
      </w:pPr>
      <w:bookmarkStart w:id="35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5"/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ar1-stationary">
        <w:r>
          <w:rPr>
            <w:rStyle w:val="Hyperlink"/>
          </w:rPr>
          <w:t xml:space="preserve">Exercise 1</w:t>
        </w:r>
      </w:hyperlink>
      <w:r>
        <w:t xml:space="preserve">.</w:t>
      </w:r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7"/>
    <w:bookmarkEnd w:id="38"/>
    <w:bookmarkStart w:id="60" w:name="sec-samplers"/>
    <w:p>
      <w:pPr>
        <w:pStyle w:val="Heading2"/>
      </w:pPr>
      <w:r>
        <w:t xml:space="preserve">2 MCMC samplers</w:t>
      </w:r>
    </w:p>
    <w:bookmarkStart w:id="47" w:name="the-metropolishastings-algorithm"/>
    <w:p>
      <w:pPr>
        <w:pStyle w:val="Heading3"/>
      </w:pPr>
      <w:r>
        <w:t xml:space="preserve">2.1 The Metropolis–Hastings algorithm</w:t>
      </w:r>
    </w:p>
    <w:bookmarkStart w:id="39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9"/>
    <w:bookmarkStart w:id="40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40"/>
    <w:bookmarkStart w:id="41" w:name="exm-proposal-distribution"/>
    <w:p>
      <w:pPr>
        <w:pStyle w:val="BodyText"/>
      </w:pPr>
      <w:r>
        <w:rPr>
          <w:b/>
          <w:bCs/>
        </w:rPr>
        <w:t xml:space="preserve">Example 5 (A Gaussian random-walk proposal)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the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draws a candidate within about</w:t>
      </w:r>
      <w:r>
        <w:t xml:space="preserve"> </w:t>
      </w:r>
      <m:oMath>
        <m:r>
          <m:rPr>
            <m:sty m:val="p"/>
          </m:rPr>
          <m:t>±</m:t>
        </m:r>
        <m:r>
          <m:t>0.1</m:t>
        </m:r>
      </m:oMath>
      <w:r>
        <w:t xml:space="preserve"> </w:t>
      </w:r>
      <w:r>
        <w:t xml:space="preserve">of the current value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: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Gaussian density depends on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only through its square.</w:t>
      </w:r>
    </w:p>
    <w:bookmarkEnd w:id="41"/>
    <w:bookmarkStart w:id="42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42"/>
    <w:bookmarkStart w:id="43" w:name="exm-acceptance-ratio"/>
    <w:p>
      <w:pPr>
        <w:pStyle w:val="FirstParagraph"/>
      </w:pPr>
      <w:r>
        <w:rPr>
          <w:b/>
          <w:bCs/>
        </w:rPr>
        <w:t xml:space="preserve">Example 6 (Acceptance ratio for a Bernoulli posterior)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a uniform prior,</w:t>
      </w:r>
      <w:r>
        <w:t xml:space="preserve"> </w:t>
      </w:r>
      <w:r>
        <w:t xml:space="preserve">and the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proposal of</w:t>
      </w:r>
      <w:r>
        <w:t xml:space="preserve"> </w:t>
      </w:r>
      <w:hyperlink w:anchor="exm-proposal-distributio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terms cancel and the prior is constant,</w:t>
      </w:r>
      <w:r>
        <w:t xml:space="preserve"> </w:t>
      </w:r>
      <w:r>
        <w:t xml:space="preserve">so moving from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3"/>
    <w:bookmarkStart w:id="44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4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6" w:name="exm-mh-bernoulli"/>
    <w:p>
      <w:pPr>
        <w:pStyle w:val="BodyText"/>
      </w:pPr>
      <w:r>
        <w:rPr>
          <w:b/>
          <w:bCs/>
        </w:rPr>
        <w:t xml:space="preserve">Example 7 (Metropolis–Hastings for a Bernoulli model)</w:t>
      </w:r>
      <w:r>
        <w:t xml:space="preserve"> </w:t>
      </w:r>
      <w:r>
        <w:t xml:space="preserve">We sample the 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 uniform prior)</w:t>
      </w:r>
      <w:r>
        <w:t xml:space="preserve"> </w:t>
      </w:r>
      <w:r>
        <w:t xml:space="preserve">with a Gaussian random-walk proposal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proposal is symmetric,</w:t>
      </w:r>
      <w:r>
        <w:t xml:space="preserve"> </w:t>
      </w:r>
      <w:r>
        <w:t xml:space="preserve">and the uniform prior density is 1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log of the acceptance ratio is the difference of log-likelihoods,</w:t>
      </w:r>
      <w:r>
        <w:t xml:space="preserve"> </w:t>
      </w:r>
      <w:r>
        <w:t xml:space="preserve">and a proposal outside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always rejected.</w:t>
      </w:r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6"/>
    <w:bookmarkEnd w:id="47"/>
    <w:bookmarkStart w:id="55" w:name="sec-burnin"/>
    <w:p>
      <w:pPr>
        <w:pStyle w:val="Heading3"/>
      </w:pPr>
      <w:r>
        <w:t xml:space="preserve">2.2 Trace plots and burn-in</w:t>
      </w:r>
    </w:p>
    <w:bookmarkStart w:id="48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8"/>
    <w:bookmarkStart w:id="49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9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4" w:name="exm-burnin"/>
    <w:p>
      <w:pPr>
        <w:pStyle w:val="BodyText"/>
      </w:pPr>
      <w:r>
        <w:rPr>
          <w:b/>
          <w:bCs/>
        </w:rPr>
        <w:t xml:space="preserve">Example 8 (Burn-in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we start two more chains at the extreme values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0.95</m:t>
        </m:r>
      </m:oMath>
      <w:r>
        <w:t xml:space="preserve">.</w:t>
      </w:r>
      <w:r>
        <w:t xml:space="preserve"> </w:t>
      </w:r>
      <w:hyperlink w:anchor="fig-mh-burnin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their first 200 iterations.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3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4"/>
    <w:bookmarkEnd w:id="55"/>
    <w:bookmarkStart w:id="59" w:name="the-gibbs-sampler"/>
    <w:p>
      <w:pPr>
        <w:pStyle w:val="Heading3"/>
      </w:pPr>
      <w:r>
        <w:t xml:space="preserve">2.3 The Gibbs sampler</w:t>
      </w:r>
    </w:p>
    <w:bookmarkStart w:id="56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6"/>
    <w:bookmarkStart w:id="57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7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8" w:name="exm-gibbs-bivariate-normal"/>
    <w:p>
      <w:pPr>
        <w:pStyle w:val="BodyText"/>
      </w:pPr>
      <w:r>
        <w:rPr>
          <w:b/>
          <w:bCs/>
        </w:rPr>
        <w:t xml:space="preserve">Example 9 (Gibbs sampling from a correlated Gaussian target)</w:t>
      </w:r>
      <w:r>
        <w:t xml:space="preserve"> </w:t>
      </w:r>
      <w:r>
        <w:t xml:space="preserve">Let the target be the bivariate Gaussian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 means 0, variances 1 and correlation</w:t>
      </w:r>
      <w:r>
        <w:t xml:space="preserve"> </w:t>
      </w:r>
      <m:oMath>
        <m:r>
          <m:t>ρ</m:t>
        </m:r>
      </m:oMath>
      <w:r>
        <w:t xml:space="preserve">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(Casella and Berger 2002, Definition 4.5.10)</w:t>
      </w:r>
      <w:r>
        <w:t xml:space="preserve">.</w:t>
      </w:r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8"/>
    <w:bookmarkEnd w:id="59"/>
    <w:bookmarkEnd w:id="60"/>
    <w:bookmarkStart w:id="68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61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62" w:name="exm-psrf"/>
    <w:p>
      <w:pPr>
        <w:pStyle w:val="BodyText"/>
      </w:pPr>
      <w:r>
        <w:rPr>
          <w:b/>
          <w:bCs/>
        </w:rPr>
        <w:t xml:space="preserve">Example 10 (Potential scale reduction factor for the Bernoulli sampler)</w:t>
      </w:r>
      <w:r>
        <w:t xml:space="preserve"> </w:t>
      </w:r>
      <w:r>
        <w:t xml:space="preserve">Continuing</w:t>
      </w:r>
      <w:r>
        <w:t xml:space="preserve"> </w:t>
      </w:r>
      <w:hyperlink w:anchor="exm-burni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we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for the two chains,</w:t>
      </w:r>
      <w:r>
        <w:t xml:space="preserve"> </w:t>
      </w:r>
      <w:r>
        <w:t xml:space="preserve">first over their first 50 iterations, which include the burn-in,</w:t>
      </w:r>
      <w:r>
        <w:t xml:space="preserve"> </w:t>
      </w:r>
      <w:r>
        <w:t xml:space="preserve">and then over iterations 501 to 5,000:</w:t>
      </w:r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62"/>
    <w:bookmarkStart w:id="66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5" w:name="exm-mcmc-vs-mle"/>
    <w:p>
      <w:pPr>
        <w:pStyle w:val="BodyText"/>
      </w:pPr>
      <w:r>
        <w:rPr>
          <w:b/>
          <w:bCs/>
        </w:rPr>
        <w:t xml:space="preserve">Example 11 (Posterior mean and maximum likelihood estimate for a Bernoulli model)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maximum likelihood estimate is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with estimated standard error</w:t>
      </w:r>
      <w:r>
        <w:t xml:space="preserve"> </w:t>
      </w:r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Under the uniform prior, 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),</w:t>
      </w:r>
      <w:r>
        <w:t xml:space="preserve"> </w:t>
      </w:r>
      <w:r>
        <w:t xml:space="preserve">whose mean is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whose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(Casella and Berger 2002, sec. 3.3, p. 107)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r>
        <w:t xml:space="preserve">The two estimates differ only through the prior’s pseudo-counts,</w:t>
      </w:r>
      <w:r>
        <w:t xml:space="preserve"> </w:t>
      </w:r>
      <w:r>
        <w:t xml:space="preserve">and so do the two measures of spread;</w:t>
      </w:r>
      <w:r>
        <w:t xml:space="preserve"> </w:t>
      </w:r>
      <w:r>
        <w:t xml:space="preserve">both differences vanish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The MCMC mean in</w:t>
      </w:r>
      <w:r>
        <w:t xml:space="preserve"> </w:t>
      </w:r>
      <w:hyperlink w:anchor="exm-mh-bernoulli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agrees with the exact posterior mean,</w:t>
      </w:r>
      <w:r>
        <w:t xml:space="preserve"> </w:t>
      </w:r>
      <w:r>
        <w:t xml:space="preserve">and so with the maximum likelihood estimate to about two decimal places.</w:t>
      </w:r>
    </w:p>
    <w:bookmarkEnd w:id="65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6"/>
    <w:bookmarkStart w:id="67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r>
        <w:t xml:space="preserve">How a model is written affects how well its sampler mixes</w:t>
      </w:r>
      <w:r>
        <w:t xml:space="preserve"> </w:t>
      </w:r>
      <w:r>
        <w:t xml:space="preserve">(Dobson and Barnett 2018, chap. 13, p. 299)</w:t>
      </w:r>
      <w:r>
        <w:t xml:space="preserve">.</w:t>
      </w:r>
      <w:r>
        <w:t xml:space="preserve"> </w:t>
      </w:r>
      <w:r>
        <w:t xml:space="preserve">Two algebraically equivalent parameterizations of the same model</w:t>
      </w:r>
      <w:r>
        <w:t xml:space="preserve"> </w:t>
      </w:r>
      <w:r>
        <w:t xml:space="preserve">can produce chains with very different autocorrelation.</w:t>
      </w:r>
      <w:r>
        <w:t xml:space="preserve"> </w:t>
      </w:r>
      <w:r>
        <w:t xml:space="preserve">Strong posterior correlation between parameters slows a sampler</w:t>
      </w:r>
      <w:r>
        <w:t xml:space="preserve"> </w:t>
      </w:r>
      <w:r>
        <w:t xml:space="preserve">that updates one component at a time,</w:t>
      </w:r>
      <w:r>
        <w:t xml:space="preserve"> </w:t>
      </w:r>
      <w:r>
        <w:t xml:space="preserve">because each update can move only a short way along a narrow, tilted ridge,</w:t>
      </w:r>
      <w:r>
        <w:t xml:space="preserve"> </w:t>
      </w:r>
      <w:r>
        <w:t xml:space="preserve">as</w:t>
      </w:r>
      <w:r>
        <w:t xml:space="preserve"> </w:t>
      </w:r>
      <w:hyperlink w:anchor="exm-gibbs-bivariate-normal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shows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.</w:t>
      </w:r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7"/>
    <w:bookmarkEnd w:id="68"/>
    <w:bookmarkStart w:id="76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9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70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0"/>
    <w:bookmarkStart w:id="71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71"/>
    <w:bookmarkStart w:id="72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3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4" w:name="exm-dic-bernoulli"/>
    <w:p>
      <w:pPr>
        <w:pStyle w:val="BodyText"/>
      </w:pPr>
      <w:r>
        <w:rPr>
          <w:b/>
          <w:bCs/>
        </w:rPr>
        <w:t xml:space="preserve">Example 12 (DIC for the Bernoulli model)</w:t>
      </w:r>
      <w:r>
        <w:t xml:space="preserve"> </w:t>
      </w: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estimate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π</m:t>
            </m:r>
          </m:e>
        </m:acc>
      </m:oMath>
      <w:r>
        <w:t xml:space="preserve"> </w:t>
      </w:r>
      <w:r>
        <w:t xml:space="preserve">from 5,000 draws from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posterior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4"/>
    <w:bookmarkStart w:id="75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5"/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80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9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0"/>
    <w:bookmarkStart w:id="82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81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82"/>
    <w:bookmarkStart w:id="84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50" Target="media/rId50.png" /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12" Target="bayesian-inference.qmd#def-marginal-likelihood" TargetMode="External" /><Relationship Type="http://schemas.openxmlformats.org/officeDocument/2006/relationships/hyperlink" Id="rId45" Target="bayesian-inference.qmd#eq-bayes-posterior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64" Target="estimation.qmd#def-SE" TargetMode="External" /><Relationship Type="http://schemas.openxmlformats.org/officeDocument/2006/relationships/hyperlink" Id="rId83" Target="https://doi.org/10.1007/978-1-4757-4145-2" TargetMode="External" /><Relationship Type="http://schemas.openxmlformats.org/officeDocument/2006/relationships/hyperlink" Id="rId79" Target="https://doi.org/10.1201/9781315182780" TargetMode="External" /><Relationship Type="http://schemas.openxmlformats.org/officeDocument/2006/relationships/hyperlink" Id="rId81" Target="https://doi.org/10.1201/b16018" TargetMode="External" /><Relationship Type="http://schemas.openxmlformats.org/officeDocument/2006/relationships/hyperlink" Id="rId25" Target="https://morrison-lab.github.io/pds/expectation.html#thm-linearity-expectation" TargetMode="External" /><Relationship Type="http://schemas.openxmlformats.org/officeDocument/2006/relationships/hyperlink" Id="rId28" Target="https://morrison-lab.github.io/pds/variance-covariance.html#cor-var-lincom2" TargetMode="External" /><Relationship Type="http://schemas.openxmlformats.org/officeDocument/2006/relationships/hyperlink" Id="rId27" Target="https://morrison-lab.github.io/pds/variance-covariance.html#thm-indpt-uncorrelated" TargetMode="External" /><Relationship Type="http://schemas.openxmlformats.org/officeDocument/2006/relationships/hyperlink" Id="rId69" Target="https://morrison-lab.github.io/rme/chapters/Linear-models-overview.html#def-aic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https://www.youtube.com/watch?v=N_LRQUrdHag" TargetMode="External" /><Relationship Type="http://schemas.openxmlformats.org/officeDocument/2006/relationships/hyperlink" Id="rId63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2026-10-15T07:09:43Z</dcterms:created>
  <dcterms:modified xsi:type="dcterms:W3CDTF">2026-10-15T07:09:43Z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23:57:22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