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del w:id="1" w:author="PR Preview" w:date="2026-01-01T00:00:00Z">
        <w:r>
          <w:delText xml:space="preserve">Last modified: 2026-10-16 00:48:26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2026-10-16 00:47:58 (PDT)</w:t>
        </w:r>
      </w:ins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(Vittinghoff et al. 2012, chap. 2)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(Rosenman et al. 1975)</w:t>
      </w:r>
      <w:r>
        <w:t xml:space="preserve">.</w:t>
      </w:r>
      <w:r>
        <w:t xml:space="preserve"> </w:t>
      </w:r>
      <w:r>
        <w:t xml:space="preserve">Vittinghoff et al. (2012, 9)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28"/>
    <w:bookmarkStart w:id="29" w:name="exm-sample-median"/>
    <w:p>
      <w:pPr>
        <w:pStyle w:val="FirstParagraph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bookmarkEnd w:id="31"/>
    <w:bookmarkStart w:id="32" w:name="def-sample-sd"/>
    <w:p>
      <w:pPr>
        <w:pStyle w:val="FirstParagraph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bookmarkEnd w:id="32"/>
    <w:bookmarkStart w:id="33" w:name="rem-sd-units"/>
    <w:p>
      <w:pPr>
        <w:pStyle w:val="FirstParagraph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bookmarkEnd w:id="39"/>
    <w:bookmarkStart w:id="40" w:name="exm-IQR"/>
    <w:p>
      <w:pPr>
        <w:pStyle w:val="FirstParagraph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(2019, sec. 6.1, pp. 233–244)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(2007, secs. 10.4–10.5, pp. 392–401)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1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8" w:name="box-plots"/>
    <w:p>
      <w:pPr>
        <w:pStyle w:val="Heading3"/>
      </w:pPr>
      <w:r>
        <w:t xml:space="preserve">3.3 Box plots</w:t>
      </w:r>
    </w:p>
    <w:bookmarkStart w:id="62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 continuous variable: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bookmarkEnd w:id="62"/>
    <w:bookmarkStart w:id="63" w:name="rem-whisker-rul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7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7"/>
        </w:tc>
      </w:tr>
    </w:tbl>
    <w:bookmarkEnd w:id="68"/>
    <w:bookmarkStart w:id="74" w:name="bar-charts"/>
    <w:p>
      <w:pPr>
        <w:pStyle w:val="Heading3"/>
      </w:pPr>
      <w:r>
        <w:t xml:space="preserve">3.4 Bar charts</w:t>
      </w:r>
    </w:p>
    <w:bookmarkStart w:id="69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bookmarkEnd w:id="69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3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3"/>
        </w:tc>
      </w:tr>
    </w:tbl>
    <w:bookmarkEnd w:id="74"/>
    <w:bookmarkStart w:id="80" w:name="normal-quantile-quantile-plots"/>
    <w:p>
      <w:pPr>
        <w:pStyle w:val="Heading3"/>
      </w:pPr>
      <w:r>
        <w:t xml:space="preserve">3.5 Normal quantile-quantile plots</w:t>
      </w:r>
    </w:p>
    <w:bookmarkStart w:id="75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bookmarkEnd w:id="75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9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79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(2019, sec. 6.2, pp. 245–255)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(2007, sec. 10.2.3, pp. 385–388)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10.3, pp. 389–391)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(2007, sec. 10.6, pp. 402–403)</w:t>
      </w:r>
      <w:r>
        <w:t xml:space="preserve"> </w:t>
      </w:r>
      <w:r>
        <w:t xml:space="preserve">covers boxplots.</w:t>
      </w:r>
    </w:p>
    <w:bookmarkEnd w:id="80"/>
    <w:bookmarkEnd w:id="81"/>
    <w:bookmarkStart w:id="110" w:name="bivariate-relationships"/>
    <w:p>
      <w:pPr>
        <w:pStyle w:val="Heading2"/>
      </w:pPr>
      <w:r>
        <w:t xml:space="preserve">4 Bivariate relationships</w:t>
      </w:r>
    </w:p>
    <w:bookmarkStart w:id="95" w:name="two-continuous-variables"/>
    <w:p>
      <w:pPr>
        <w:pStyle w:val="Heading3"/>
      </w:pPr>
      <w:r>
        <w:t xml:space="preserve">4.1 Two continuous variables</w:t>
      </w:r>
    </w:p>
    <w:bookmarkStart w:id="82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bookmarkEnd w:id="82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6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6"/>
        </w:tc>
      </w:tr>
    </w:tbl>
    <w:bookmarkStart w:id="87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bookmarkEnd w:id="87"/>
    <w:bookmarkStart w:id="89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8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89"/>
    <w:bookmarkStart w:id="90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1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(2007, sec. 10.7, pp. 404–406)</w:t>
      </w:r>
      <w:r>
        <w:t xml:space="preserve"> </w:t>
      </w:r>
      <w:r>
        <w:t xml:space="preserve">covers scatterplots.</w:t>
      </w:r>
    </w:p>
    <w:bookmarkEnd w:id="95"/>
    <w:bookmarkStart w:id="105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9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99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3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3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4"/>
        </w:tc>
      </w:tr>
    </w:tbl>
    <w:bookmarkEnd w:id="105"/>
    <w:bookmarkStart w:id="109" w:name="two-categorical-variables"/>
    <w:p>
      <w:pPr>
        <w:pStyle w:val="Heading3"/>
      </w:pPr>
      <w:r>
        <w:t xml:space="preserve">4.3 Two categorical variables</w:t>
      </w:r>
    </w:p>
    <w:bookmarkStart w:id="106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 categorical variables: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bookmarkEnd w:id="106"/>
    <w:bookmarkStart w:id="108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7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7"/>
        </w:tc>
      </w:tr>
    </w:tbl>
    <w:bookmarkEnd w:id="108"/>
    <w:bookmarkEnd w:id="109"/>
    <w:bookmarkEnd w:id="110"/>
    <w:bookmarkStart w:id="132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19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4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8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18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19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1" w:name="sec-rescaling"/>
    <w:p>
      <w:pPr>
        <w:pStyle w:val="Heading3"/>
      </w:pPr>
      <w:r>
        <w:t xml:space="preserve">5.1 Rescaling a variable</w:t>
      </w:r>
    </w:p>
    <w:bookmarkStart w:id="120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0"/>
    <w:bookmarkStart w:id="121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1"/>
    <w:bookmarkStart w:id="122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bookmarkEnd w:id="122"/>
    <w:bookmarkStart w:id="123" w:name="rem-source-standardiza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(2021, sec. 4.7.6, p. 183)</w:t>
      </w:r>
      <w:r>
        <w:t xml:space="preserve">.</w:t>
      </w:r>
      <w:r>
        <w:t xml:space="preserve"> </w:t>
      </w:r>
      <w:r>
        <w:t xml:space="preserve">Géron (2017, ch. 2)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(2021)</w:t>
      </w:r>
      <w:r>
        <w:t xml:space="preserve">.</w:t>
      </w:r>
    </w:p>
    <w:bookmarkEnd w:id="123"/>
    <w:bookmarkStart w:id="124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4"/>
    <w:bookmarkStart w:id="125" w:name="thm-standardized-mean-sd"/>
    <w:p>
      <w:pPr>
        <w:pStyle w:val="BodyText"/>
      </w:pPr>
      <w:r>
        <w:rPr>
          <w:b/>
          <w:bCs/>
        </w:rPr>
        <w:t xml:space="preserve">Theorem 2 (Standardized values have mean 0 and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6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mean 0 and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(2021, sec. 4.7.6, p. 183)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6"/>
    <w:bookmarkStart w:id="127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7"/>
    <w:bookmarkStart w:id="128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(2017, ch. 2)</w:t>
      </w:r>
      <w:r>
        <w:t xml:space="preserve">.</w:t>
      </w:r>
    </w:p>
    <w:bookmarkEnd w:id="128"/>
    <w:bookmarkStart w:id="129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(Géron 2017, chap. 2,</w:t>
      </w:r>
      <w:r>
        <w:t xml:space="preserve"> </w:t>
      </w:r>
      <w:r>
        <w:t xml:space="preserve">“Feature Scaling”</w:t>
      </w:r>
      <w:r>
        <w:t xml:space="preserve">)</w:t>
      </w:r>
      <w:r>
        <w:t xml:space="preserve">.</w:t>
      </w:r>
    </w:p>
    <w:bookmarkEnd w:id="129"/>
    <w:bookmarkStart w:id="130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0"/>
    <w:bookmarkEnd w:id="131"/>
    <w:bookmarkEnd w:id="132"/>
    <w:bookmarkStart w:id="134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3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3"/>
        </w:tc>
      </w:tr>
    </w:tbl>
    <w:bookmarkEnd w:id="134"/>
    <w:bookmarkStart w:id="145" w:name="references"/>
    <w:p>
      <w:pPr>
        <w:pStyle w:val="Heading2"/>
      </w:pPr>
      <w:r>
        <w:t xml:space="preserve">References</w:t>
      </w:r>
    </w:p>
    <w:bookmarkStart w:id="144" w:name="refs"/>
    <w:bookmarkStart w:id="135" w:name="ref-geron2017hands"/>
    <w:p>
      <w:pPr>
        <w:pStyle w:val="Bibliography"/>
      </w:pPr>
      <w:r>
        <w:t xml:space="preserve">Géron, Aurélien. 2017.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. 1st ed. O’Reilly Media.</w:t>
      </w:r>
    </w:p>
    <w:bookmarkEnd w:id="135"/>
    <w:bookmarkStart w:id="136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36"/>
    <w:bookmarkStart w:id="138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37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38"/>
    <w:bookmarkStart w:id="139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39"/>
    <w:bookmarkStart w:id="141" w:name="ref-rosenman1975coronary"/>
    <w:p>
      <w:pPr>
        <w:pStyle w:val="Bibliography"/>
      </w:pPr>
      <w:r>
        <w:t xml:space="preserve">Rosenman, Ray H, Richard J Brand, C David Jenkins, Meyer Friedman, Reuben Straus, and Moses Wurm. 1975.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Years.”</w:t>
      </w:r>
      <w:r>
        <w:t xml:space="preserve"> </w:t>
      </w:r>
      <w:r>
        <w:rPr>
          <w:i/>
          <w:iCs/>
        </w:rPr>
        <w:t xml:space="preserve">JAMA</w:t>
      </w:r>
      <w:r>
        <w:t xml:space="preserve"> </w:t>
      </w:r>
      <w:r>
        <w:t xml:space="preserve">233 (8): 872–77.</w:t>
      </w:r>
      <w:r>
        <w:t xml:space="preserve"> </w:t>
      </w:r>
      <w:hyperlink r:id="rId140">
        <w:r>
          <w:rPr>
            <w:rStyle w:val="Hyperlink"/>
          </w:rPr>
          <w:t xml:space="preserve">https://doi.org/10.1001/jama.1975.03260080034016</w:t>
        </w:r>
      </w:hyperlink>
      <w:r>
        <w:t xml:space="preserve">.</w:t>
      </w:r>
    </w:p>
    <w:bookmarkEnd w:id="141"/>
    <w:bookmarkStart w:id="143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142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143"/>
    <w:bookmarkEnd w:id="144"/>
    <w:bookmarkEnd w:id="1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2" Type="http://schemas.openxmlformats.org/officeDocument/2006/relationships/image" Target="media/rId92.png"/><Relationship Id="rId64" Type="http://schemas.openxmlformats.org/officeDocument/2006/relationships/image" Target="media/rId64.png"/><Relationship Id="rId70" Type="http://schemas.openxmlformats.org/officeDocument/2006/relationships/image" Target="media/rId70.png"/><Relationship Id="rId76" Type="http://schemas.openxmlformats.org/officeDocument/2006/relationships/image" Target="media/rId76.png"/><Relationship Id="rId83" Type="http://schemas.openxmlformats.org/officeDocument/2006/relationships/image" Target="media/rId83.png"/><Relationship Id="rId96" Type="http://schemas.openxmlformats.org/officeDocument/2006/relationships/image" Target="media/rId96.png"/><Relationship Id="rId100" Type="http://schemas.openxmlformats.org/officeDocument/2006/relationships/image" Target="media/rId100.png"/><Relationship Id="rId111" Type="http://schemas.openxmlformats.org/officeDocument/2006/relationships/image" Target="media/rId111.png"/><Relationship Id="rId115" Type="http://schemas.openxmlformats.org/officeDocument/2006/relationships/image" Target="media/rId115.png"/><Relationship Id="rId51" Type="http://schemas.openxmlformats.org/officeDocument/2006/relationships/image" Target="media/rId51.png"/><Relationship Id="rId57" Type="http://schemas.openxmlformats.org/officeDocument/2006/relationships/image" Target="media/rId57.png"/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_rels/footnotes.xml.rels><?xml version='1.0' encoding='UTF-8' standalone='yes'?>
<Relationships xmlns="http://schemas.openxmlformats.org/package/2006/relationships"><Relationship Id="rId88" Type="http://schemas.openxmlformats.org/officeDocument/2006/relationships/hyperlink" Target="correlation-regression.qmd#def-population-correlation" TargetMode="External"/><Relationship Id="rId140" Type="http://schemas.openxmlformats.org/officeDocument/2006/relationships/hyperlink" Target="https://doi.org/10.1001/jama.1975.03260080034016" TargetMode="External"/><Relationship Id="rId137" Type="http://schemas.openxmlformats.org/officeDocument/2006/relationships/hyperlink" Target="https://doi.org/10.1007/978-1-0716-1418-1" TargetMode="External"/><Relationship Id="rId142" Type="http://schemas.openxmlformats.org/officeDocument/2006/relationships/hyperlink" Target="https://doi.org/10.1007/978-1-4614-1353-0" TargetMode="External"/><Relationship Id="rId10" Type="http://schemas.openxmlformats.org/officeDocument/2006/relationships/hyperlink" Target="https://en.wikipedia.org/wiki/Type_A_and_Type_B_personality_theory" TargetMode="External"/><Relationship Id="rId20" Type="http://schemas.openxmlformats.org/officeDocument/2006/relationships/hyperlink" Target="https://morrison-lab.github.io/pds/independence.html#def-iid" TargetMode="External"/><Relationship Id="rId17" Type="http://schemas.openxmlformats.org/officeDocument/2006/relationships/hyperlink" Target="https://morrison-lab.github.io/pds/probability-basics.html#def-probability" TargetMode="External"/><Relationship Id="rId16" Type="http://schemas.openxmlformats.org/officeDocument/2006/relationships/hyperlink" Target="https://morrison-lab.github.io/pds/probability-basics.html#def-random-choice" TargetMode="External"/><Relationship Id="rId27" Type="http://schemas.openxmlformats.org/officeDocument/2006/relationships/hyperlink" Target="nonparametric-models.qmd#def-order-statistics" TargetMode="External"/><Relationship Id="rId35" Type="http://schemas.openxmlformats.org/officeDocument/2006/relationships/hyperlink" Target="nonparametric-models.qmd#def-sample-quantile" TargetMode="External"/><Relationship Id="rId37" Type="http://schemas.openxmlformats.org/officeDocument/2006/relationships/hyperlink" Target="nonparametric-models.qmd#rem-quantile-conven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2026-10-16T08:03:48Z</dcterms:created>
  <dcterms:modified xsi:type="dcterms:W3CDTF">2026-10-16T08:03:48Z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00:47:58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