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2026-10-15 01:42:34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4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 statistic takes with positive probability,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Fisher (1922)</w:t>
            </w:r>
            <w:r>
              <w:t xml:space="preserve"> </w:t>
            </w:r>
            <w:r>
              <w:t xml:space="preserve">introduced sufficiency;</w:t>
            </w:r>
            <w:r>
              <w:t xml:space="preserve"> </w:t>
            </w:r>
            <w:r>
              <w:t xml:space="preserve">Casella and Berger (2002, Def. 6.2.1, p. 272)</w:t>
            </w:r>
            <w:r>
              <w:t xml:space="preserve">.</w:t>
            </w:r>
          </w:p>
          <w:p/>
        </w:tc>
      </w:tr>
    </w:tbl>
    <w:bookmarkStart w:id="18" w:name="rem-sufficient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For a continuous sample, the definition uses conditional densities instead of conditional probabilities.</w:t>
      </w:r>
    </w:p>
    <w:bookmarkEnd w:id="18"/>
    <w:bookmarkStart w:id="22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9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Halmos and Savage (1949)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6.2.6, p. 276)</w:t>
            </w:r>
            <w:r>
              <w:t xml:space="preserve">.</w:t>
            </w:r>
          </w:p>
          <w:p/>
        </w:tc>
      </w:tr>
    </w:tbl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;</w:t>
      </w:r>
      <w:r>
        <w:t xml:space="preserve"> </w:t>
      </w:r>
      <w:r>
        <w:t xml:space="preserve">then 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zero.)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lies inside the event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23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3"/>
    <w:bookmarkEnd w:id="24"/>
    <w:bookmarkStart w:id="49" w:name="sec-rao-blackwell"/>
    <w:p>
      <w:pPr>
        <w:pStyle w:val="Heading2"/>
      </w:pPr>
      <w:r>
        <w:t xml:space="preserve">2 The Rao–Blackwell theorem</w:t>
      </w:r>
    </w:p>
    <w:bookmarkStart w:id="26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5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7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34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Blackwell (1947)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7.3.17, p. 342)</w:t>
            </w:r>
            <w:r>
              <w:t xml:space="preserve">.</w:t>
            </w:r>
          </w:p>
          <w:p/>
        </w:tc>
      </w:tr>
    </w:tbl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5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7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6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7"/>
    <w:bookmarkStart w:id="38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8"/>
    <w:bookmarkStart w:id="40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9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4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2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6"/>
        </w:tc>
      </w:tr>
    </w:tbl>
    <w:bookmarkEnd w:id="47"/>
    <w:bookmarkStart w:id="48" w:name="rem-rb-insufficient"/>
    <w:p>
      <w:pPr>
        <w:pStyle w:val="BodyText"/>
      </w:pPr>
      <w:r>
        <w:rPr>
          <w:i/>
          <w:iCs/>
        </w:rPr>
        <w:t xml:space="preserve">Remark 3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8"/>
    <w:bookmarkEnd w:id="49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1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50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51"/>
    <w:bookmarkStart w:id="5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3"/>
    <w:bookmarkStart w:id="55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4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5"/>
    <w:bookmarkStart w:id="57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6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7"/>
    <w:bookmarkStart w:id="58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8"/>
    <w:bookmarkStart w:id="59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43" Target="media/rId43.png" /><Relationship Type="http://schemas.openxmlformats.org/officeDocument/2006/relationships/hyperlink" Id="rId42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41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6" Target="https://doi.org/10.1214/aoms/1177730032" TargetMode="External" /><Relationship Type="http://schemas.openxmlformats.org/officeDocument/2006/relationships/hyperlink" Id="rId50" Target="https://doi.org/10.1214/aoms/1177730497" TargetMode="External" /><Relationship Type="http://schemas.openxmlformats.org/officeDocument/2006/relationships/hyperlink" Id="rId36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35" Target="https://morrison-lab.github.io/pds/variance-covariance.html#thm-total-variance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41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6" Target="https://doi.org/10.1214/aoms/1177730032" TargetMode="External" /><Relationship Type="http://schemas.openxmlformats.org/officeDocument/2006/relationships/hyperlink" Id="rId50" Target="https://doi.org/10.1214/aoms/1177730497" TargetMode="External" /><Relationship Type="http://schemas.openxmlformats.org/officeDocument/2006/relationships/hyperlink" Id="rId36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35" Target="https://morrison-lab.github.io/pds/variance-covariance.html#thm-total-variance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2026-10-15T09:03:34Z</dcterms:created>
  <dcterms:modified xsi:type="dcterms:W3CDTF">2026-10-15T09:03:34Z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