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2026-10-26 18:20:41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21:47:17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Section 24.2 of Lange’s textbook</w:t>
      </w:r>
      <w:r>
        <w:t xml:space="preserve"> </w:t>
      </w:r>
      <w:r>
        <w:t xml:space="preserve">[10]</w:t>
      </w:r>
      <w:r>
        <w:t xml:space="preserve"> </w:t>
      </w:r>
      <w:r>
        <w:t xml:space="preserve">covers permutation tests,</w:t>
      </w:r>
      <w:r>
        <w:t xml:space="preserve"> </w:t>
      </w:r>
      <w:r>
        <w:t xml:space="preserve">with an emphasis on computation.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Start w:id="71" w:name="ref-lange2010numer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0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70" Type="http://schemas.openxmlformats.org/officeDocument/2006/relationships/hyperlink" Target="https://doi.org/10.1007/978-1-4419-5945-4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70" Type="http://schemas.openxmlformats.org/officeDocument/2006/relationships/hyperlink" Target="https://doi.org/10.1007/978-1-4419-5945-4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2026-10-27T05:04:12Z</dcterms:created>
  <dcterms:modified xsi:type="dcterms:W3CDTF">2026-10-27T05:04:12Z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21:47:17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