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2026-10-16 02:11:28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02:24:37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r>
        <w:t xml:space="preserve">Rice (2007, sec. 10.2.1, pp. 378–379)</w:t>
      </w:r>
      <w:r>
        <w:t xml:space="preserve"> </w:t>
      </w:r>
      <w:r>
        <w:t xml:space="preserve">covers the empirical CDF.</w:t>
      </w:r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r>
        <w:t xml:space="preserve">Hogg et al. (2019, sec. 6.3, pp. 256–263)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5.4, pp. 226–231)</w:t>
      </w:r>
      <w:r>
        <w:t xml:space="preserve"> </w:t>
      </w:r>
      <w:r>
        <w:t xml:space="preserve">covers order statistics.</w:t>
      </w:r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r>
        <w:t xml:space="preserve">Hogg et al. (2019, sec. 7.5, pp. 337–343)</w:t>
      </w:r>
      <w:r>
        <w:t xml:space="preserve"> </w:t>
      </w:r>
      <w:r>
        <w:t xml:space="preserve">covers distribution-free confidence intervals for percentiles.</w:t>
      </w:r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(2007, sec. 11.3.2, pp. 448–449)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(2007, sec. 12.2.3, p. 488)</w:t>
      </w:r>
      <w:r>
        <w:t xml:space="preserve"> </w:t>
      </w:r>
      <w:r>
        <w:t xml:space="preserve">covers the Kruskal–Wallis test.</w:t>
      </w:r>
    </w:p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0"/>
    <w:bookmarkStart w:id="42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45"/>
    <w:bookmarkStart w:id="4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33" Type="http://schemas.openxmlformats.org/officeDocument/2006/relationships/image" Target="media/rId33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3" Type="http://schemas.openxmlformats.org/officeDocument/2006/relationships/hyperlink" Target="https://doi.org/10.1007/978-0-387-84858-7" TargetMode="External"/><Relationship Id="rId41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39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3" Type="http://schemas.openxmlformats.org/officeDocument/2006/relationships/hyperlink" Target="https://doi.org/10.1007/978-0-387-84858-7" TargetMode="External"/><Relationship Id="rId41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39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2026-10-16T09:36:09Z</dcterms:created>
  <dcterms:modified xsi:type="dcterms:W3CDTF">2026-10-16T09:36:09Z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02:24:37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