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del w:id="1" w:author="PR Preview" w:date="2026-01-01T00:00:00Z">
        <w:r>
          <w:delText xml:space="preserve">Last modified: 2026-10-15 00:45:59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00:39:48 (PDT)</w:t>
        </w:r>
      </w:ins>
    </w:p>
    <w:bookmarkStart w:id="2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(Vittinghoff et al. 2012, chap. 2)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(Rosenman et al. 1975)</w:t>
      </w:r>
      <w:r>
        <w:t xml:space="preserve">.</w:t>
      </w:r>
      <w:r>
        <w:t xml:space="preserve"> </w:t>
      </w:r>
      <w:r>
        <w:t xml:space="preserve">Vittinghoff et al. (2012, 9)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23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19" w:name="def-sample"/>
    <w:p>
      <w:pPr>
        <w:pStyle w:val="BodyText"/>
      </w:pPr>
      <w:r>
        <w:rPr>
          <w:b/>
          <w:bCs/>
        </w:rPr>
        <w:t xml:space="preserve">Definition 3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9"/>
    <w:bookmarkStart w:id="21" w:name="def-random-sample"/>
    <w:p>
      <w:pPr>
        <w:pStyle w:val="BodyText"/>
      </w:pPr>
      <w:r>
        <w:rPr>
          <w:b/>
          <w:bCs/>
        </w:rPr>
        <w:t xml:space="preserve">Definition 4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0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2" w:name="exm-population-sample-wcgs"/>
    <w:p>
      <w:pPr>
        <w:pStyle w:val="BodyText"/>
      </w:pPr>
      <w:r>
        <w:rPr>
          <w:b/>
          <w:bCs/>
        </w:rPr>
        <w:t xml:space="preserve">Example 1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4</w:t>
        </w:r>
      </w:hyperlink>
      <w:r>
        <w:t xml:space="preserve">) of the population.</w:t>
      </w:r>
      <w:r>
        <w:t xml:space="preserve"> </w:t>
      </w:r>
      <w:r>
        <w:t xml:space="preserve">Its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2"/>
    <w:bookmarkEnd w:id="23"/>
    <w:bookmarkEnd w:id="24"/>
    <w:bookmarkStart w:id="48" w:name="summarizing-a-single-variable"/>
    <w:p>
      <w:pPr>
        <w:pStyle w:val="Heading2"/>
      </w:pPr>
      <w:r>
        <w:t xml:space="preserve">2 Summarizing a single variable</w:t>
      </w:r>
    </w:p>
    <w:bookmarkStart w:id="30" w:name="measures-of-center"/>
    <w:p>
      <w:pPr>
        <w:pStyle w:val="Heading3"/>
      </w:pPr>
      <w:r>
        <w:t xml:space="preserve">2.1 Measures of center</w:t>
      </w:r>
    </w:p>
    <w:bookmarkStart w:id="25" w:name="def-sample-mean"/>
    <w:p>
      <w:pPr>
        <w:pStyle w:val="FirstParagraph"/>
      </w:pPr>
      <w:r>
        <w:rPr>
          <w:b/>
          <w:bCs/>
        </w:rPr>
        <w:t xml:space="preserve">Definition 5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5"/>
    <w:bookmarkStart w:id="26" w:name="exm-sample-mean"/>
    <w:p>
      <w:pPr>
        <w:pStyle w:val="FirstParagraph"/>
      </w:pPr>
      <w:r>
        <w:rPr>
          <w:b/>
          <w:bCs/>
        </w:rPr>
        <w:t xml:space="preserve">Example 2 (Mean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26"/>
    <w:bookmarkStart w:id="28" w:name="def-sample-median"/>
    <w:p>
      <w:pPr>
        <w:pStyle w:val="FirstParagraph"/>
      </w:pPr>
      <w:r>
        <w:rPr>
          <w:b/>
          <w:bCs/>
        </w:rPr>
        <w:t xml:space="preserve">Definition 6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28"/>
    <w:bookmarkStart w:id="29" w:name="exm-sample-median"/>
    <w:p>
      <w:pPr>
        <w:pStyle w:val="FirstParagraph"/>
      </w:pPr>
      <w:r>
        <w:rPr>
          <w:b/>
          <w:bCs/>
        </w:rPr>
        <w:t xml:space="preserve">Example 3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mean.</w:t>
      </w:r>
    </w:p>
    <w:bookmarkEnd w:id="29"/>
    <w:bookmarkEnd w:id="30"/>
    <w:bookmarkStart w:id="41" w:name="measures-of-spread"/>
    <w:p>
      <w:pPr>
        <w:pStyle w:val="Heading3"/>
      </w:pPr>
      <w:r>
        <w:t xml:space="preserve">2.2 Measures of spread</w:t>
      </w:r>
    </w:p>
    <w:bookmarkStart w:id="31" w:name="def-sample-variance"/>
    <w:p>
      <w:pPr>
        <w:pStyle w:val="FirstParagraph"/>
      </w:pPr>
      <w:r>
        <w:rPr>
          <w:b/>
          <w:bCs/>
        </w:rPr>
        <w:t xml:space="preserve">Definition 7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31"/>
    <w:bookmarkStart w:id="32" w:name="def-sample-sd"/>
    <w:p>
      <w:pPr>
        <w:pStyle w:val="FirstParagraph"/>
      </w:pPr>
      <w:r>
        <w:rPr>
          <w:b/>
          <w:bCs/>
        </w:rPr>
        <w:t xml:space="preserve">Definition 8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bookmarkEnd w:id="32"/>
    <w:bookmarkStart w:id="33" w:name="rem-sd-units"/>
    <w:p>
      <w:pPr>
        <w:pStyle w:val="FirstParagraph"/>
      </w:pPr>
      <w:r>
        <w:rPr>
          <w:i/>
          <w:iCs/>
        </w:rPr>
        <w:t xml:space="preserve">Remark 1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33"/>
    <w:bookmarkStart w:id="34" w:name="exm-sample-sd"/>
    <w:p>
      <w:pPr>
        <w:pStyle w:val="BodyText"/>
      </w:pPr>
      <w:r>
        <w:rPr>
          <w:b/>
          <w:bCs/>
        </w:rPr>
        <w:t xml:space="preserve">Example 4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34"/>
    <w:bookmarkStart w:id="36" w:name="def-quartiles"/>
    <w:p>
      <w:pPr>
        <w:pStyle w:val="BodyText"/>
      </w:pPr>
      <w:r>
        <w:rPr>
          <w:b/>
          <w:bCs/>
        </w:rPr>
        <w:t xml:space="preserve">Definition 9 (Quartiles)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are the sample 0.25 and 0.75 quantiles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sample quantile</w:t>
        </w:r>
      </w:hyperlink>
      <w:r>
        <w:t xml:space="preserve">),</w:t>
      </w:r>
      <w:r>
        <w:t xml:space="preserve"> </w:t>
      </w:r>
      <w:r>
        <w:t xml:space="preserve">also called the 25th and 75th percentiles.</w:t>
      </w:r>
    </w:p>
    <w:bookmarkEnd w:id="36"/>
    <w:bookmarkStart w:id="38" w:name="rem-quartile-software"/>
    <w:p>
      <w:pPr>
        <w:pStyle w:val="BodyText"/>
      </w:pPr>
      <w:r>
        <w:rPr>
          <w:i/>
          <w:iCs/>
        </w:rPr>
        <w:t xml:space="preserve">Remark 2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38"/>
    <w:bookmarkStart w:id="39" w:name="def-IQR"/>
    <w:p>
      <w:pPr>
        <w:pStyle w:val="BodyText"/>
      </w:pPr>
      <w:r>
        <w:rPr>
          <w:b/>
          <w:bCs/>
        </w:rPr>
        <w:t xml:space="preserve">Definition 10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bookmarkEnd w:id="39"/>
    <w:bookmarkStart w:id="40" w:name="exm-IQR"/>
    <w:p>
      <w:pPr>
        <w:pStyle w:val="FirstParagraph"/>
      </w:pPr>
      <w:r>
        <w:rPr>
          <w:b/>
          <w:bCs/>
        </w:rPr>
        <w:t xml:space="preserve">Example 5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0"/>
    <w:bookmarkEnd w:id="41"/>
    <w:bookmarkStart w:id="43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9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42"/>
        </w:tc>
      </w:tr>
    </w:tbl>
    <w:bookmarkEnd w:id="43"/>
    <w:bookmarkStart w:id="47" w:name="binary-and-categorical-variables"/>
    <w:p>
      <w:pPr>
        <w:pStyle w:val="Heading3"/>
      </w:pPr>
      <w:r>
        <w:t xml:space="preserve">2.4 Binary and categorical variables</w:t>
      </w:r>
    </w:p>
    <w:bookmarkStart w:id="44" w:name="def-sample-proportion"/>
    <w:p>
      <w:pPr>
        <w:pStyle w:val="FirstParagraph"/>
      </w:pPr>
      <w:r>
        <w:rPr>
          <w:b/>
          <w:bCs/>
        </w:rPr>
        <w:t xml:space="preserve">Definition 11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44"/>
    <w:bookmarkStart w:id="45" w:name="exm-sample-proportion"/>
    <w:p>
      <w:pPr>
        <w:pStyle w:val="BodyText"/>
      </w:pPr>
      <w:r>
        <w:rPr>
          <w:b/>
          <w:bCs/>
        </w:rPr>
        <w:t xml:space="preserve">Example 6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45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46"/>
        </w:tc>
      </w:tr>
    </w:tbl>
    <w:bookmarkEnd w:id="47"/>
    <w:bookmarkEnd w:id="48"/>
    <w:bookmarkStart w:id="81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55" w:name="histograms"/>
    <w:p>
      <w:pPr>
        <w:pStyle w:val="Heading3"/>
      </w:pPr>
      <w:r>
        <w:t xml:space="preserve">3.1 Histograms</w:t>
      </w:r>
    </w:p>
    <w:bookmarkStart w:id="49" w:name="def-histogram"/>
    <w:p>
      <w:pPr>
        <w:pStyle w:val="FirstParagraph"/>
      </w:pPr>
      <w:r>
        <w:rPr>
          <w:b/>
          <w:bCs/>
        </w:rPr>
        <w:t xml:space="preserve">Definition 12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bookmarkEnd w:id="49"/>
    <w:bookmarkStart w:id="50" w:name="def-bin"/>
    <w:p>
      <w:pPr>
        <w:pStyle w:val="BodyText"/>
      </w:pPr>
      <w:r>
        <w:rPr>
          <w:b/>
          <w:bCs/>
        </w:rPr>
        <w:t xml:space="preserve">Definition 13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54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55"/>
    <w:bookmarkStart w:id="61" w:name="density-plots"/>
    <w:p>
      <w:pPr>
        <w:pStyle w:val="Heading3"/>
      </w:pPr>
      <w:r>
        <w:t xml:space="preserve">3.2 Density plots</w:t>
      </w:r>
    </w:p>
    <w:bookmarkStart w:id="56" w:name="def-density-plot"/>
    <w:p>
      <w:pPr>
        <w:pStyle w:val="FirstParagraph"/>
      </w:pPr>
      <w:r>
        <w:rPr>
          <w:b/>
          <w:bCs/>
        </w:rPr>
        <w:t xml:space="preserve">Definition 14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bookmarkEnd w:id="5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0"/>
        </w:tc>
      </w:tr>
    </w:tbl>
    <w:bookmarkEnd w:id="61"/>
    <w:bookmarkStart w:id="68" w:name="box-plots"/>
    <w:p>
      <w:pPr>
        <w:pStyle w:val="Heading3"/>
      </w:pPr>
      <w:r>
        <w:t xml:space="preserve">3.3 Box plots</w:t>
      </w:r>
    </w:p>
    <w:bookmarkStart w:id="62" w:name="def-boxplot"/>
    <w:p>
      <w:pPr>
        <w:pStyle w:val="FirstParagraph"/>
      </w:pPr>
      <w:r>
        <w:rPr>
          <w:b/>
          <w:bCs/>
        </w:rPr>
        <w:t xml:space="preserve">Definition 15 (Box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 box-and-whisker plot) summarizes the distribution</w:t>
      </w:r>
      <w:r>
        <w:t xml:space="preserve"> </w:t>
      </w:r>
      <w:r>
        <w:t xml:space="preserve">of a continuous variable:</w:t>
      </w:r>
    </w:p>
    <w:p>
      <w:pPr>
        <w:pStyle w:val="Compact"/>
        <w:numPr>
          <w:ilvl w:val="0"/>
          <w:numId w:val="1004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4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bookmarkEnd w:id="62"/>
    <w:bookmarkStart w:id="63" w:name="rem-whisker-rul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6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67"/>
        </w:tc>
      </w:tr>
    </w:tbl>
    <w:bookmarkEnd w:id="68"/>
    <w:bookmarkStart w:id="74" w:name="bar-charts"/>
    <w:p>
      <w:pPr>
        <w:pStyle w:val="Heading3"/>
      </w:pPr>
      <w:r>
        <w:t xml:space="preserve">3.4 Bar charts</w:t>
      </w:r>
    </w:p>
    <w:bookmarkStart w:id="69" w:name="def-bar-chart"/>
    <w:p>
      <w:pPr>
        <w:pStyle w:val="FirstParagraph"/>
      </w:pPr>
      <w:r>
        <w:rPr>
          <w:b/>
          <w:bCs/>
        </w:rPr>
        <w:t xml:space="preserve">Definition 16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bookmarkEnd w:id="6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73"/>
        </w:tc>
      </w:tr>
    </w:tbl>
    <w:bookmarkEnd w:id="74"/>
    <w:bookmarkStart w:id="80" w:name="normal-quantile-quantile-plots"/>
    <w:p>
      <w:pPr>
        <w:pStyle w:val="Heading3"/>
      </w:pPr>
      <w:r>
        <w:t xml:space="preserve">3.5 Normal quantile-quantile plots</w:t>
      </w:r>
    </w:p>
    <w:bookmarkStart w:id="75" w:name="def-qq-plot"/>
    <w:p>
      <w:pPr>
        <w:pStyle w:val="FirstParagraph"/>
      </w:pPr>
      <w:r>
        <w:rPr>
          <w:b/>
          <w:bCs/>
        </w:rPr>
        <w:t xml:space="preserve">Definition 17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bookmarkEnd w:id="7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9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79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80"/>
    <w:bookmarkEnd w:id="81"/>
    <w:bookmarkStart w:id="110" w:name="bivariate-relationships"/>
    <w:p>
      <w:pPr>
        <w:pStyle w:val="Heading2"/>
      </w:pPr>
      <w:r>
        <w:t xml:space="preserve">4 Bivariate relationships</w:t>
      </w:r>
    </w:p>
    <w:bookmarkStart w:id="95" w:name="two-continuous-variables"/>
    <w:p>
      <w:pPr>
        <w:pStyle w:val="Heading3"/>
      </w:pPr>
      <w:r>
        <w:t xml:space="preserve">4.1 Two continuous variables</w:t>
      </w:r>
    </w:p>
    <w:bookmarkStart w:id="82" w:name="def-scatterplot"/>
    <w:p>
      <w:pPr>
        <w:pStyle w:val="FirstParagraph"/>
      </w:pPr>
      <w:r>
        <w:rPr>
          <w:b/>
          <w:bCs/>
        </w:rPr>
        <w:t xml:space="preserve">Definition 18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bookmarkEnd w:id="82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86"/>
        </w:tc>
      </w:tr>
    </w:tbl>
    <w:bookmarkStart w:id="87" w:name="def-pearson-r"/>
    <w:p>
      <w:pPr>
        <w:pStyle w:val="BodyText"/>
      </w:pPr>
      <w:r>
        <w:rPr>
          <w:b/>
          <w:bCs/>
        </w:rPr>
        <w:t xml:space="preserve">Definition 19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bookmarkEnd w:id="87"/>
    <w:bookmarkStart w:id="89" w:name="rem-pearson-r-estimates-population"/>
    <w:p>
      <w:pPr>
        <w:pStyle w:val="BodyText"/>
      </w:pPr>
      <w:r>
        <w:rPr>
          <w:i/>
          <w:iCs/>
        </w:rPr>
        <w:t xml:space="preserve">Remark 4</w:t>
      </w:r>
      <w:r>
        <w:t xml:space="preserve"> (The Pearson correlation coefficient estimates the population correlation). </w:t>
      </w:r>
      <w:r>
        <w:t xml:space="preserve">The Pearson correlation coefficient is a sample estimate of the</w:t>
      </w:r>
      <w:r>
        <w:t xml:space="preserve"> </w:t>
      </w:r>
      <w:hyperlink r:id="rId88">
        <w:r>
          <w:rPr>
            <w:rStyle w:val="Hyperlink"/>
          </w:rPr>
          <w:t xml:space="preserve">population correlation</w:t>
        </w:r>
      </w:hyperlink>
      <w:r>
        <w:t xml:space="preserve">.</w:t>
      </w:r>
    </w:p>
    <w:bookmarkEnd w:id="89"/>
    <w:bookmarkStart w:id="90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91" w:name="exm-pearson-r"/>
    <w:p>
      <w:pPr>
        <w:pStyle w:val="BodyText"/>
      </w:pPr>
      <w:r>
        <w:rPr>
          <w:b/>
          <w:bCs/>
        </w:rPr>
        <w:t xml:space="preserve">Example 7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9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bookmarkEnd w:id="95"/>
    <w:bookmarkStart w:id="105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99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3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03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04"/>
        </w:tc>
      </w:tr>
    </w:tbl>
    <w:bookmarkEnd w:id="105"/>
    <w:bookmarkStart w:id="109" w:name="two-categorical-variables"/>
    <w:p>
      <w:pPr>
        <w:pStyle w:val="Heading3"/>
      </w:pPr>
      <w:r>
        <w:t xml:space="preserve">4.3 Two categorical variables</w:t>
      </w:r>
    </w:p>
    <w:bookmarkStart w:id="106" w:name="def-contingency-table"/>
    <w:p>
      <w:pPr>
        <w:pStyle w:val="FirstParagraph"/>
      </w:pPr>
      <w:r>
        <w:rPr>
          <w:b/>
          <w:bCs/>
        </w:rPr>
        <w:t xml:space="preserve">Definition 20 (Contingency table)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 categorical variables: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bookmarkEnd w:id="106"/>
    <w:bookmarkStart w:id="108" w:name="exm-contingency-table"/>
    <w:p>
      <w:pPr>
        <w:pStyle w:val="BodyText"/>
      </w:pPr>
      <w:r>
        <w:rPr>
          <w:b/>
          <w:bCs/>
        </w:rPr>
        <w:t xml:space="preserve">Example 8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7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07"/>
        </w:tc>
      </w:tr>
    </w:tbl>
    <w:bookmarkEnd w:id="108"/>
    <w:bookmarkEnd w:id="109"/>
    <w:bookmarkEnd w:id="110"/>
    <w:bookmarkStart w:id="137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19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4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1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1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8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lnsbp)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"log(Systolic BP)"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1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18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</w:t>
      </w:r>
    </w:p>
    <w:bookmarkEnd w:id="119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36" w:name="sec-rescaling"/>
    <w:p>
      <w:pPr>
        <w:pStyle w:val="Heading3"/>
      </w:pPr>
      <w:r>
        <w:t xml:space="preserve">5.1 Rescaling a variable</w:t>
      </w:r>
    </w:p>
    <w:bookmarkStart w:id="120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6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6"/>
        </w:numPr>
      </w:pPr>
      <w:r>
        <w:t xml:space="preserve">What are the units of your answer to part 2?</w:t>
      </w:r>
    </w:p>
    <w:bookmarkEnd w:id="120"/>
    <w:bookmarkStart w:id="121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7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7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7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21"/>
    <w:bookmarkStart w:id="125" w:name="def-standardization"/>
    <w:p>
      <w:pPr>
        <w:pStyle w:val="FirstParagraph"/>
      </w:pPr>
      <w:r>
        <w:rPr>
          <w:b/>
          <w:bCs/>
        </w:rPr>
        <w:t xml:space="preserve">Definition 21 (Standardization)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4.7.6, p. 183)</w:t>
            </w:r>
            <w:r>
              <w:t xml:space="preserve">.</w:t>
            </w:r>
            <w:r>
              <w:t xml:space="preserve"> </w:t>
            </w:r>
            <w:r>
              <w:t xml:space="preserve">Géron (2017, ch. 2)</w:t>
            </w:r>
            <w:r>
              <w:t xml:space="preserve"> </w:t>
            </w:r>
            <w:r>
              <w:t xml:space="preserve">describes the same operation but says it divides by the variance;</w:t>
            </w:r>
            <w:r>
              <w:t xml:space="preserve"> </w:t>
            </w:r>
            <w:r>
              <w:t xml:space="preserve">the standard deviation is used here, as in</w:t>
            </w:r>
            <w:r>
              <w:t xml:space="preserve"> </w:t>
            </w:r>
            <w:r>
              <w:t xml:space="preserve">James et al. (2021)</w:t>
            </w:r>
            <w:r>
              <w:t xml:space="preserve">.</w:t>
            </w:r>
          </w:p>
          <w:p/>
        </w:tc>
      </w:tr>
    </w:tbl>
    <w:bookmarkEnd w:id="125"/>
    <w:bookmarkStart w:id="126" w:name="rem-standardization-units"/>
    <w:p>
      <w:pPr>
        <w:pStyle w:val="BodyText"/>
      </w:pPr>
      <w:r>
        <w:rPr>
          <w:i/>
          <w:iCs/>
        </w:rPr>
        <w:t xml:space="preserve">Remark 5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26"/>
    <w:bookmarkStart w:id="129" w:name="thm-standardized-mean-sd"/>
    <w:p>
      <w:pPr>
        <w:pStyle w:val="BodyText"/>
      </w:pPr>
      <w:r>
        <w:rPr>
          <w:b/>
          <w:bCs/>
        </w:rPr>
        <w:t xml:space="preserve">Theorem 2 (Standardized values have mean 0 and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Stated for the standardized Caravan variables in</w:t>
            </w:r>
            <w:r>
              <w:t xml:space="preserve"> </w:t>
            </w:r>
            <w:r>
              <w:t xml:space="preserve">James et al. (2021, sec. 4.7.6, p. 183)</w:t>
            </w:r>
            <w:r>
              <w:t xml:space="preserve">;</w:t>
            </w:r>
            <w:r>
              <w:t xml:space="preserve"> </w:t>
            </w:r>
            <w:r>
              <w:t xml:space="preserve">the proof is the elementary calculation.</w:t>
            </w:r>
          </w:p>
          <w:p/>
        </w:tc>
      </w:tr>
    </w:tbl>
    <w:bookmarkEnd w:id="1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30" w:name="exm-scale-wcgs"/>
    <w:p>
      <w:pPr>
        <w:pStyle w:val="BodyText"/>
      </w:pPr>
      <w:r>
        <w:rPr>
          <w:b/>
          <w:bCs/>
        </w:rPr>
        <w:t xml:space="preserve">Example 9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30"/>
    <w:bookmarkStart w:id="133" w:name="def-min-max-scaling"/>
    <w:p>
      <w:pPr>
        <w:pStyle w:val="BodyText"/>
      </w:pPr>
      <w:r>
        <w:rPr>
          <w:b/>
          <w:bCs/>
        </w:rPr>
        <w:t xml:space="preserve">Definition 22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Géron (2017, ch. 2)</w:t>
            </w:r>
            <w:r>
              <w:t xml:space="preserve">.</w:t>
            </w:r>
          </w:p>
          <w:p/>
        </w:tc>
      </w:tr>
    </w:tbl>
    <w:bookmarkEnd w:id="133"/>
    <w:bookmarkStart w:id="134" w:name="rem-min-max-outliers"/>
    <w:p>
      <w:pPr>
        <w:pStyle w:val="BodyText"/>
      </w:pPr>
      <w:r>
        <w:rPr>
          <w:i/>
          <w:iCs/>
        </w:rPr>
        <w:t xml:space="preserve">Remark 6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(Géron 2017, chap. 2,</w:t>
      </w:r>
      <w:r>
        <w:t xml:space="preserve"> </w:t>
      </w:r>
      <w:r>
        <w:t xml:space="preserve">“Feature Scaling”</w:t>
      </w:r>
      <w:r>
        <w:t xml:space="preserve">)</w:t>
      </w:r>
      <w:r>
        <w:t xml:space="preserve">.</w:t>
      </w:r>
    </w:p>
    <w:bookmarkEnd w:id="134"/>
    <w:bookmarkStart w:id="135" w:name="exm-min-max-wcgs"/>
    <w:p>
      <w:pPr>
        <w:pStyle w:val="BodyText"/>
      </w:pPr>
      <w:r>
        <w:rPr>
          <w:b/>
          <w:bCs/>
        </w:rPr>
        <w:t xml:space="preserve">Example 10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35"/>
    <w:bookmarkEnd w:id="136"/>
    <w:bookmarkEnd w:id="137"/>
    <w:bookmarkStart w:id="139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09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09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09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0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0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0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8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38"/>
        </w:tc>
      </w:tr>
    </w:tbl>
    <w:bookmarkEnd w:id="139"/>
    <w:bookmarkStart w:id="148" w:name="references"/>
    <w:p>
      <w:pPr>
        <w:pStyle w:val="Heading2"/>
      </w:pPr>
      <w:r>
        <w:t xml:space="preserve">References</w:t>
      </w:r>
    </w:p>
    <w:bookmarkStart w:id="147" w:name="refs"/>
    <w:bookmarkStart w:id="140" w:name="ref-geron2017hands"/>
    <w:p>
      <w:pPr>
        <w:pStyle w:val="Bibliography"/>
      </w:pPr>
      <w:r>
        <w:t xml:space="preserve">Géron, Aurélien. 2017.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. 1st ed. O’Reilly Media.</w:t>
      </w:r>
    </w:p>
    <w:bookmarkEnd w:id="140"/>
    <w:bookmarkStart w:id="142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41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42"/>
    <w:bookmarkStart w:id="144" w:name="ref-rosenman1975coronary"/>
    <w:p>
      <w:pPr>
        <w:pStyle w:val="Bibliography"/>
      </w:pPr>
      <w:r>
        <w:t xml:space="preserve">Rosenman, Ray H, Richard J Brand, C David Jenkins, Meyer Friedman, Reuben Straus, and Moses Wurm. 1975.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Years.”</w:t>
      </w:r>
      <w:r>
        <w:t xml:space="preserve"> </w:t>
      </w:r>
      <w:r>
        <w:rPr>
          <w:i/>
          <w:iCs/>
        </w:rPr>
        <w:t xml:space="preserve">JAMA</w:t>
      </w:r>
      <w:r>
        <w:t xml:space="preserve"> </w:t>
      </w:r>
      <w:r>
        <w:t xml:space="preserve">233 (8): 872–77.</w:t>
      </w:r>
      <w:r>
        <w:t xml:space="preserve"> </w:t>
      </w:r>
      <w:hyperlink r:id="rId143">
        <w:r>
          <w:rPr>
            <w:rStyle w:val="Hyperlink"/>
          </w:rPr>
          <w:t xml:space="preserve">https://doi.org/10.1001/jama.1975.03260080034016</w:t>
        </w:r>
      </w:hyperlink>
      <w:r>
        <w:t xml:space="preserve">.</w:t>
      </w:r>
    </w:p>
    <w:bookmarkEnd w:id="144"/>
    <w:bookmarkStart w:id="146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45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46"/>
    <w:bookmarkEnd w:id="147"/>
    <w:bookmarkEnd w:id="1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2" Type="http://schemas.openxmlformats.org/officeDocument/2006/relationships/image" Target="media/rId92.png"/><Relationship Id="rId122" Type="http://schemas.openxmlformats.org/officeDocument/2006/relationships/image" Target="media/rId122.png"/><Relationship Id="rId64" Type="http://schemas.openxmlformats.org/officeDocument/2006/relationships/image" Target="media/rId64.png"/><Relationship Id="rId70" Type="http://schemas.openxmlformats.org/officeDocument/2006/relationships/image" Target="media/rId70.png"/><Relationship Id="rId76" Type="http://schemas.openxmlformats.org/officeDocument/2006/relationships/image" Target="media/rId76.png"/><Relationship Id="rId83" Type="http://schemas.openxmlformats.org/officeDocument/2006/relationships/image" Target="media/rId83.png"/><Relationship Id="rId96" Type="http://schemas.openxmlformats.org/officeDocument/2006/relationships/image" Target="media/rId96.png"/><Relationship Id="rId100" Type="http://schemas.openxmlformats.org/officeDocument/2006/relationships/image" Target="media/rId100.png"/><Relationship Id="rId111" Type="http://schemas.openxmlformats.org/officeDocument/2006/relationships/image" Target="media/rId111.png"/><Relationship Id="rId115" Type="http://schemas.openxmlformats.org/officeDocument/2006/relationships/image" Target="media/rId115.png"/><Relationship Id="rId51" Type="http://schemas.openxmlformats.org/officeDocument/2006/relationships/image" Target="media/rId51.png"/><Relationship Id="rId57" Type="http://schemas.openxmlformats.org/officeDocument/2006/relationships/image" Target="media/rId57.png"/><Relationship Id="rId88" Type="http://schemas.openxmlformats.org/officeDocument/2006/relationships/hyperlink" Target="correlation-regression.qmd#def-population-correlation" TargetMode="External"/><Relationship Id="rId143" Type="http://schemas.openxmlformats.org/officeDocument/2006/relationships/hyperlink" Target="https://doi.org/10.1001/jama.1975.03260080034016" TargetMode="External"/><Relationship Id="rId141" Type="http://schemas.openxmlformats.org/officeDocument/2006/relationships/hyperlink" Target="https://doi.org/10.1007/978-1-0716-1418-1" TargetMode="External"/><Relationship Id="rId145" Type="http://schemas.openxmlformats.org/officeDocument/2006/relationships/hyperlink" Target="https://doi.org/10.1007/978-1-4614-1353-0" TargetMode="External"/><Relationship Id="rId10" Type="http://schemas.openxmlformats.org/officeDocument/2006/relationships/hyperlink" Target="https://en.wikipedia.org/wiki/Type_A_and_Type_B_personality_theory" TargetMode="External"/><Relationship Id="rId20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27" Type="http://schemas.openxmlformats.org/officeDocument/2006/relationships/hyperlink" Target="nonparametric-models.qmd#def-order-statistics" TargetMode="External"/><Relationship Id="rId35" Type="http://schemas.openxmlformats.org/officeDocument/2006/relationships/hyperlink" Target="nonparametric-models.qmd#def-sample-quantile" TargetMode="External"/><Relationship Id="rId37" Type="http://schemas.openxmlformats.org/officeDocument/2006/relationships/hyperlink" Target="nonparametric-models.qmd#rem-quantile-conventions" TargetMode="External"/></Relationships>
</file>

<file path=word/_rels/footnotes.xml.rels><?xml version='1.0' encoding='UTF-8' standalone='yes'?>
<Relationships xmlns="http://schemas.openxmlformats.org/package/2006/relationships"><Relationship Id="rId88" Type="http://schemas.openxmlformats.org/officeDocument/2006/relationships/hyperlink" Target="correlation-regression.qmd#def-population-correlation" TargetMode="External"/><Relationship Id="rId143" Type="http://schemas.openxmlformats.org/officeDocument/2006/relationships/hyperlink" Target="https://doi.org/10.1001/jama.1975.03260080034016" TargetMode="External"/><Relationship Id="rId141" Type="http://schemas.openxmlformats.org/officeDocument/2006/relationships/hyperlink" Target="https://doi.org/10.1007/978-1-0716-1418-1" TargetMode="External"/><Relationship Id="rId145" Type="http://schemas.openxmlformats.org/officeDocument/2006/relationships/hyperlink" Target="https://doi.org/10.1007/978-1-4614-1353-0" TargetMode="External"/><Relationship Id="rId10" Type="http://schemas.openxmlformats.org/officeDocument/2006/relationships/hyperlink" Target="https://en.wikipedia.org/wiki/Type_A_and_Type_B_personality_theory" TargetMode="External"/><Relationship Id="rId20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27" Type="http://schemas.openxmlformats.org/officeDocument/2006/relationships/hyperlink" Target="nonparametric-models.qmd#def-order-statistics" TargetMode="External"/><Relationship Id="rId35" Type="http://schemas.openxmlformats.org/officeDocument/2006/relationships/hyperlink" Target="nonparametric-models.qmd#def-sample-quantile" TargetMode="External"/><Relationship Id="rId37" Type="http://schemas.openxmlformats.org/officeDocument/2006/relationships/hyperlink" Target="nonparametric-models.qmd#rem-quantile-conven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2026-10-15T07:55:53Z</dcterms:created>
  <dcterms:modified xsi:type="dcterms:W3CDTF">2026-10-15T07:55:53Z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00:39:48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