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05:27:52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77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7.2, pp. 314–322)</w:t>
      </w:r>
      <w:r>
        <w:t xml:space="preserve">: Confidence intervals for the difference of two means</w:t>
      </w:r>
    </w:p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: Tests of the equality of two means</w:t>
      </w:r>
    </w:p>
    <w:p>
      <w:pPr>
        <w:pStyle w:val="Compact"/>
        <w:numPr>
          <w:ilvl w:val="0"/>
          <w:numId w:val="1003"/>
        </w:numPr>
      </w:pPr>
      <w:r>
        <w:t xml:space="preserve">Hogg et al. (2019, sec. 9.3, pp. 446–455)</w:t>
      </w:r>
      <w:r>
        <w:t xml:space="preserve">: One-factor analysis of variance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11.2, pp. 522–538)</w:t>
      </w:r>
      <w:r>
        <w:t xml:space="preserve">: Oneway analysis of variance</w:t>
      </w:r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2026-10-15T12:32:54Z</dcterms:created>
  <dcterms:modified xsi:type="dcterms:W3CDTF">2026-10-15T12:32:54Z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