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05:27:52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2" w:name="textbook-cross-references"/>
    <w:p>
      <w:pPr>
        <w:pStyle w:val="Heading2"/>
      </w:pPr>
      <w:ins w:id="3" w:author="PR Preview" w:date="2026-01-01T00:00:00Z">
        <w:r>
          <w:t xml:space="preserve">Textbook cross-references</w:t>
        </w:r>
      </w:ins>
    </w:p>
    <w:p>
      <w:pPr>
        <w:pStyle w:val="FirstParagraph"/>
      </w:pPr>
      <w:ins w:id="4" w:author="PR Preview" w:date="2026-01-01T00:00:00Z">
        <w:r>
          <w:t xml:space="preserve">Textbook sections on the topics of this page:</w:t>
        </w:r>
      </w:ins>
    </w:p>
    <w:p>
      <w:pPr>
        <w:pStyle w:val="Compact"/>
        <w:numPr>
          <w:ilvl w:val="0"/>
          <w:numId w:val="1001"/>
        </w:numPr>
      </w:pPr>
      <w:ins w:id="5" w:author="PR Preview" w:date="2026-01-01T00:00:00Z">
        <w:r>
          <w:t xml:space="preserve">Hogg et al. (2019, sec. 7.3, pp. 323–328)</w:t>
        </w:r>
      </w:ins>
      <w:ins w:id="6" w:author="PR Preview" w:date="2026-01-01T00:00:00Z">
        <w:r>
          <w:t xml:space="preserve">: Confidence intervals for proportions</w:t>
        </w:r>
      </w:ins>
    </w:p>
    <w:p>
      <w:pPr>
        <w:pStyle w:val="Compact"/>
        <w:numPr>
          <w:ilvl w:val="0"/>
          <w:numId w:val="1001"/>
        </w:numPr>
      </w:pPr>
      <w:ins w:id="7" w:author="PR Preview" w:date="2026-01-01T00:00:00Z">
        <w:r>
          <w:t xml:space="preserve">Hogg et al. (2019, sec. 8.4, pp. 385–391)</w:t>
        </w:r>
      </w:ins>
      <w:ins w:id="8" w:author="PR Preview" w:date="2026-01-01T00:00:00Z">
        <w:r>
          <w:t xml:space="preserve">: Tests about proportions</w:t>
        </w:r>
      </w:ins>
    </w:p>
    <w:p>
      <w:pPr>
        <w:pStyle w:val="Compact"/>
        <w:numPr>
          <w:ilvl w:val="0"/>
          <w:numId w:val="1001"/>
        </w:numPr>
      </w:pPr>
      <w:ins w:id="9" w:author="PR Preview" w:date="2026-01-01T00:00:00Z">
        <w:r>
          <w:t xml:space="preserve">Hogg et al. (2019, sec. 9.1, pp. 425–434)</w:t>
        </w:r>
      </w:ins>
      <w:ins w:id="10" w:author="PR Preview" w:date="2026-01-01T00:00:00Z">
        <w:r>
          <w:t xml:space="preserve">: Chi-square goodness-of-fit tests</w:t>
        </w:r>
      </w:ins>
    </w:p>
    <w:p>
      <w:pPr>
        <w:pStyle w:val="Compact"/>
        <w:numPr>
          <w:ilvl w:val="0"/>
          <w:numId w:val="1001"/>
        </w:numPr>
      </w:pPr>
      <w:ins w:id="11" w:author="PR Preview" w:date="2026-01-01T00:00:00Z">
        <w:r>
          <w:t xml:space="preserve">Hogg et al. (2019, sec. 9.2, pp. 435–445)</w:t>
        </w:r>
      </w:ins>
      <w:ins w:id="12" w:author="PR Preview" w:date="2026-01-01T00:00:00Z">
        <w:r>
          <w:t xml:space="preserve">: Contingency tables</w:t>
        </w:r>
      </w:ins>
    </w:p>
    <w:bookmarkEnd w:id="32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2026-10-15T12:35:46Z</dcterms:created>
  <dcterms:modified xsi:type="dcterms:W3CDTF">2026-10-15T12:35:46Z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