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05:27:52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2" w:name="textbook-cross-references"/>
    <w:p>
      <w:pPr>
        <w:pStyle w:val="Heading2"/>
      </w:pPr>
      <w:r>
        <w:t xml:space="preserve">Textbook cross-references</w:t>
      </w:r>
    </w:p>
    <w:p>
      <w:pPr>
        <w:pStyle w:val="FirstParagraph"/>
      </w:pPr>
      <w:r>
        <w:t xml:space="preserve">Textbook sections on the topics of this page:</w:t>
      </w:r>
    </w:p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: Confidence intervals for proportions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: Tests about proportions</w:t>
      </w:r>
    </w:p>
    <w:p>
      <w:pPr>
        <w:pStyle w:val="Compact"/>
        <w:numPr>
          <w:ilvl w:val="0"/>
          <w:numId w:val="1001"/>
        </w:numPr>
      </w:pPr>
      <w:r>
        <w:t xml:space="preserve">Hogg et al. (2019, sec. 9.1, pp. 425–434)</w:t>
      </w:r>
      <w:r>
        <w:t xml:space="preserve">: Chi-square goodness-of-fit tests</w:t>
      </w:r>
    </w:p>
    <w:p>
      <w:pPr>
        <w:pStyle w:val="Compact"/>
        <w:numPr>
          <w:ilvl w:val="0"/>
          <w:numId w:val="1001"/>
        </w:numPr>
      </w:pPr>
      <w:r>
        <w:t xml:space="preserve">Hogg et al. (2019, sec. 9.2, pp. 435–445)</w:t>
      </w:r>
      <w:r>
        <w:t xml:space="preserve">: Contingency tables</w:t>
      </w:r>
    </w:p>
    <w:bookmarkEnd w:id="32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2026-10-15T12:35:46Z</dcterms:created>
  <dcterms:modified xsi:type="dcterms:W3CDTF">2026-10-15T12:35:46Z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