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05:27:52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44" w:name="textbook-cross-references"/>
    <w:p>
      <w:pPr>
        <w:pStyle w:val="Heading2"/>
      </w:pPr>
      <w:r>
        <w:t xml:space="preserve">Textbook cross-references</w:t>
      </w:r>
    </w:p>
    <w:p>
      <w:pPr>
        <w:pStyle w:val="FirstParagraph"/>
      </w:pPr>
      <w:r>
        <w:t xml:space="preserve">Textbook sections on the topics of this page:</w:t>
      </w:r>
    </w:p>
    <w:p>
      <w:pPr>
        <w:pStyle w:val="Compact"/>
        <w:numPr>
          <w:ilvl w:val="0"/>
          <w:numId w:val="1001"/>
        </w:numPr>
      </w:pPr>
      <w:r>
        <w:t xml:space="preserve">Hogg et al. (2019, sec. 6.5, pp. 277–284)</w:t>
      </w:r>
      <w:r>
        <w:t xml:space="preserve">: A simple regression problem</w:t>
      </w:r>
    </w:p>
    <w:p>
      <w:pPr>
        <w:pStyle w:val="Compact"/>
        <w:numPr>
          <w:ilvl w:val="0"/>
          <w:numId w:val="1001"/>
        </w:numPr>
      </w:pPr>
      <w:r>
        <w:t xml:space="preserve">Hogg et al. (2019, sec. 7.6, pp. 344–352)</w:t>
      </w:r>
      <w:r>
        <w:t xml:space="preserve">: More regression</w:t>
      </w:r>
    </w:p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: Tests concerning regression and correlation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11.3, pp. 539–562)</w:t>
      </w:r>
      <w:r>
        <w:t xml:space="preserve">: Simple linear regression</w:t>
      </w:r>
    </w:p>
    <w:bookmarkEnd w:id="144"/>
    <w:bookmarkStart w:id="153" w:name="references"/>
    <w:p>
      <w:pPr>
        <w:pStyle w:val="Heading2"/>
      </w:pPr>
      <w:r>
        <w:t xml:space="preserve">References</w:t>
      </w:r>
    </w:p>
    <w:bookmarkStart w:id="152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1"/>
    <w:bookmarkEnd w:id="152"/>
    <w:bookmarkEnd w:id="1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1" Target="media/rId12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50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50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2026-10-15T12:36:40Z</dcterms:created>
  <dcterms:modified xsi:type="dcterms:W3CDTF">2026-10-15T12:36:40Z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