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2026-10-15 13:07:45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4"/>
        </w:tc>
      </w:tr>
    </w:tbl>
    <w:bookmarkEnd w:id="25"/>
    <w:p>
      <w:pPr>
        <w:pStyle w:val="Compact"/>
        <w:numPr>
          <w:ilvl w:val="0"/>
          <w:numId w:val="1002"/>
        </w:numPr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10.1.4, pp. 478–480)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(2007, sec. 10.4.6, pp. 399–400)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(2007, sec. 14.6, pp. 585–586)</w:t>
      </w:r>
      <w:r>
        <w:t xml:space="preserve"> </w:t>
      </w:r>
      <w:r>
        <w:t xml:space="preserve">covers conditional inference, unconditional inference and the bootstrap.</w:t>
      </w:r>
    </w:p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5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1"/>
    <w:bookmarkStart w:id="53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2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4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6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52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52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2026-10-15T20:14:27Z</dcterms:created>
  <dcterms:modified xsi:type="dcterms:W3CDTF">2026-10-15T20:14:27Z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13:07:45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