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13:07:45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ins w:id="3" w:author="PR Preview" w:date="2026-01-01T00:00:00Z">
        <w:r>
          <w:t xml:space="preserve">Hogg et al. (2019, sec. 7.3, pp. 323–328)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confidence intervals for proportions.</w:t>
        </w:r>
      </w:ins>
    </w:p>
    <w:p>
      <w:pPr>
        <w:pStyle w:val="Compact"/>
        <w:numPr>
          <w:ilvl w:val="0"/>
          <w:numId w:val="1001"/>
        </w:numPr>
      </w:pPr>
      <w:ins w:id="6" w:author="PR Preview" w:date="2026-01-01T00:00:00Z">
        <w:r>
          <w:t xml:space="preserve">Hogg et al. (2019, sec. 8.4, pp. 385–391)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tests about proportions.</w:t>
        </w:r>
      </w:ins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ins w:id="9" w:author="PR Preview" w:date="2026-01-01T00:00:00Z">
        <w:r>
          <w:t xml:space="preserve">Hogg et al. (2019, sec. 9.1, pp. 425–434)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covers chi-square goodness-of-fit tests.</w:t>
        </w:r>
      </w:ins>
    </w:p>
    <w:p>
      <w:pPr>
        <w:pStyle w:val="Compact"/>
        <w:numPr>
          <w:ilvl w:val="0"/>
          <w:numId w:val="1002"/>
        </w:numPr>
      </w:pPr>
      <w:ins w:id="12" w:author="PR Preview" w:date="2026-01-01T00:00:00Z">
        <w:r>
          <w:t xml:space="preserve">Hogg et al. (2019, sec. 9.2, pp. 435–445)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covers contingency tables.</w:t>
        </w:r>
      </w:ins>
    </w:p>
    <w:p>
      <w:pPr>
        <w:pStyle w:val="Compact"/>
        <w:numPr>
          <w:ilvl w:val="0"/>
          <w:numId w:val="1002"/>
        </w:numPr>
      </w:pPr>
      <w:ins w:id="15" w:author="PR Preview" w:date="2026-01-01T00:00:00Z">
        <w:r>
          <w:t xml:space="preserve">Rice (2007, sec. 13.3, pp. 516–519)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covers the chi-square test of homogeneity.</w:t>
        </w:r>
      </w:ins>
    </w:p>
    <w:p>
      <w:pPr>
        <w:pStyle w:val="Compact"/>
        <w:numPr>
          <w:ilvl w:val="0"/>
          <w:numId w:val="1002"/>
        </w:numPr>
      </w:pPr>
      <w:ins w:id="18" w:author="PR Preview" w:date="2026-01-01T00:00:00Z">
        <w:r>
          <w:t xml:space="preserve">Rice (2007, sec. 13.4, pp. 520–522)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covers the chi-square test of independence.</w:t>
        </w:r>
      </w:ins>
    </w:p>
    <w:p>
      <w:pPr>
        <w:pStyle w:val="Compact"/>
        <w:numPr>
          <w:ilvl w:val="0"/>
          <w:numId w:val="1002"/>
        </w:numPr>
      </w:pPr>
      <w:ins w:id="21" w:author="PR Preview" w:date="2026-01-01T00:00:00Z">
        <w:r>
          <w:t xml:space="preserve">Rice (2007, sec. 9.5, pp. 341–346)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covers likelihood ratio tests for the multinomial distribution.</w:t>
        </w:r>
      </w:ins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ins w:id="24" w:author="PR Preview" w:date="2026-01-01T00:00:00Z">
        <w:r>
          <w:t xml:space="preserve">Rice (2007, sec. 13.2, pp. 514–515)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covers Fisher’s exact test.</w:t>
        </w:r>
      </w:ins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ins w:id="27" w:author="PR Preview" w:date="2026-01-01T00:00:00Z">
        <w:r>
          <w:t xml:space="preserve">Rice (2007, sec. 13.6, pp. 526–529)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covers odds ratios.</w:t>
        </w:r>
      </w:ins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ins w:id="30" w:author="PR Preview" w:date="2026-01-01T00:00:00Z">
        <w:r>
          <w:t xml:space="preserve">Rice, John A. 2007.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rPr>
            <w:i/>
            <w:iCs/>
          </w:rPr>
          <w:t xml:space="preserve">Mathematical Statistics and Data Analysis</w:t>
        </w:r>
      </w:ins>
      <w:ins w:id="33" w:author="PR Preview" w:date="2026-01-01T00:00:00Z">
        <w:r>
          <w:t xml:space="preserve">. 3rd ed. Cengage Learning.</w:t>
        </w:r>
      </w:ins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2026-10-15T20:14:49Z</dcterms:created>
  <dcterms:modified xsi:type="dcterms:W3CDTF">2026-10-15T20:14:49Z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