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3.png" ContentType="image/png"/>
  <Override PartName="/word/media/rId175.png" ContentType="image/png"/>
  <Override PartName="/word/media/rId236.png" ContentType="image/png"/>
  <Override PartName="/word/media/rId99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13:07:45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James et al. (2021, sec. 5.1.1)</w:t>
      </w:r>
      <w:r>
        <w:t xml:space="preserve">, who call it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Hastie et al. (2009, sec. 7.2)</w:t>
      </w:r>
      <w:r>
        <w:t xml:space="preserve"> </w:t>
      </w:r>
      <w:r>
        <w:t xml:space="preserve">call this quantity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) and write it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Sanchez</w:t>
      </w:r>
      <w:r>
        <w:t xml:space="preserve"> </w:t>
      </w:r>
      <w:r>
        <w:t xml:space="preserve">(2020,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 names this matrix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3" Target="media/rId143.png" /><Relationship Type="http://schemas.openxmlformats.org/officeDocument/2006/relationships/image" Id="rId175" Target="media/rId175.png" /><Relationship Type="http://schemas.openxmlformats.org/officeDocument/2006/relationships/image" Id="rId236" Target="media/rId236.png" /><Relationship Type="http://schemas.openxmlformats.org/officeDocument/2006/relationships/image" Id="rId99" Target="media/rId99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2026-10-15T20:21:53Z</dcterms:created>
  <dcterms:modified xsi:type="dcterms:W3CDTF">2026-10-15T20:21:53Z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