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r>
        <w:t xml:space="preserve">Last modified: 2026-10-15 13:07:45 (PDT)</w:t>
      </w:r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1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7" w:name="sec-fwer"/>
    <w:p>
      <w:pPr>
        <w:pStyle w:val="Heading3"/>
      </w:pPr>
      <w:r>
        <w:t xml:space="preserve">3.2 The family-wise error rate</w:t>
      </w:r>
    </w:p>
    <w:bookmarkStart w:id="34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fwer-control"/>
    <w:p>
      <w:pPr>
        <w:pStyle w:val="FirstParagraph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5"/>
    <w:bookmarkStart w:id="36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6"/>
    <w:bookmarkEnd w:id="37"/>
    <w:bookmarkStart w:id="44" w:name="sec-fdr"/>
    <w:p>
      <w:pPr>
        <w:pStyle w:val="Heading3"/>
      </w:pPr>
      <w:r>
        <w:t xml:space="preserve">3.3 The false discovery rate</w:t>
      </w:r>
    </w:p>
    <w:bookmarkStart w:id="38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bookmarkStart w:id="40" w:name="rem-source-fdr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(1995)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(2021, ch. 13)</w:t>
      </w:r>
      <w:r>
        <w:t xml:space="preserve">.</w:t>
      </w:r>
    </w:p>
    <w:bookmarkEnd w:id="40"/>
    <w:bookmarkStart w:id="41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1"/>
    <w:bookmarkStart w:id="42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2"/>
    <w:bookmarkStart w:id="43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3"/>
    <w:bookmarkEnd w:id="44"/>
    <w:bookmarkStart w:id="50" w:name="sec-valid-p-values"/>
    <w:p>
      <w:pPr>
        <w:pStyle w:val="Heading3"/>
      </w:pPr>
      <w:r>
        <w:t xml:space="preserve">3.4 Valid p-values</w:t>
      </w:r>
    </w:p>
    <w:bookmarkStart w:id="45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5"/>
    <w:bookmarkStart w:id="46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6"/>
    <w:bookmarkStart w:id="47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7"/>
    <w:bookmarkStart w:id="49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8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49"/>
    <w:bookmarkEnd w:id="50"/>
    <w:bookmarkEnd w:id="51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2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52"/>
    <w:bookmarkStart w:id="53" w:name="rem-source-bonferroni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Bonferroni correction). </w:t>
      </w:r>
      <w:r>
        <w:t xml:space="preserve">James et al. (2021, ch. 13)</w:t>
      </w:r>
      <w:r>
        <w:t xml:space="preserve">.</w:t>
      </w:r>
    </w:p>
    <w:bookmarkEnd w:id="53"/>
    <w:bookmarkStart w:id="54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4"/>
    <w:bookmarkStart w:id="55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5"/>
    <w:bookmarkStart w:id="56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6"/>
    <w:bookmarkStart w:id="57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8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9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9"/>
    <w:bookmarkStart w:id="60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0"/>
    <w:bookmarkStart w:id="61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1"/>
    <w:bookmarkStart w:id="62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3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6" w:name="def-holm"/>
    <w:p>
      <w:pPr>
        <w:pStyle w:val="FirstParagraph"/>
      </w:pPr>
      <w:r>
        <w:rPr>
          <w:b/>
          <w:bCs/>
        </w:rPr>
        <w:t xml:space="preserve">Definition 9 (Holm’s step-down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bookmarkEnd w:id="66"/>
    <w:bookmarkStart w:id="67" w:name="rem-source-holm"/>
    <w:p>
      <w:pPr>
        <w:pStyle w:val="BodyText"/>
      </w:pPr>
      <w:r>
        <w:rPr>
          <w:i/>
          <w:iCs/>
        </w:rPr>
        <w:t xml:space="preserve">Remark 7</w:t>
      </w:r>
      <w:r>
        <w:t xml:space="preserve"> (Source: Holm’s step-down procedure). </w:t>
      </w:r>
      <w:r>
        <w:t xml:space="preserve">Holm</w:t>
      </w:r>
      <w:r>
        <w:t xml:space="preserve"> </w:t>
      </w:r>
      <w:r>
        <w:t xml:space="preserve">(1979)</w:t>
      </w:r>
      <w:r>
        <w:t xml:space="preserve">.</w:t>
      </w:r>
    </w:p>
    <w:bookmarkEnd w:id="67"/>
    <w:bookmarkStart w:id="68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8"/>
    <w:bookmarkStart w:id="69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9"/>
    <w:bookmarkStart w:id="70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0"/>
    <w:bookmarkStart w:id="71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p>
      <w:pPr>
        <w:pStyle w:val="Compact"/>
        <w:numPr>
          <w:ilvl w:val="0"/>
          <w:numId w:val="1004"/>
        </w:numPr>
      </w:pPr>
      <w:r>
        <w:t xml:space="preserve">Casella and Berger (2002, sec. 11.2.5, pp. 534–535)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(2007, sec. 12.2.2, pp. 485–487)</w:t>
      </w:r>
      <w:r>
        <w:t xml:space="preserve"> </w:t>
      </w:r>
      <w:r>
        <w:t xml:space="preserve">covers multiple comparisons.</w:t>
      </w:r>
    </w:p>
    <w:bookmarkEnd w:id="74"/>
    <w:bookmarkEnd w:id="75"/>
    <w:bookmarkStart w:id="85" w:name="sec-fdr-control"/>
    <w:p>
      <w:pPr>
        <w:pStyle w:val="Heading2"/>
      </w:pPr>
      <w:r>
        <w:t xml:space="preserve">5 Controlling the false discovery rate</w:t>
      </w:r>
    </w:p>
    <w:bookmarkStart w:id="84" w:name="sec-bh"/>
    <w:p>
      <w:pPr>
        <w:pStyle w:val="Heading3"/>
      </w:pPr>
      <w:r>
        <w:t xml:space="preserve">5.1 The Benjamini–Hochberg procedure</w:t>
      </w:r>
    </w:p>
    <w:bookmarkStart w:id="76" w:name="def-bh"/>
    <w:p>
      <w:pPr>
        <w:pStyle w:val="FirstParagraph"/>
      </w:pPr>
      <w:r>
        <w:rPr>
          <w:b/>
          <w:bCs/>
        </w:rPr>
        <w:t xml:space="preserve">Definition 10 (Benjamini–Hochberg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be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bookmarkEnd w:id="76"/>
    <w:bookmarkStart w:id="77" w:name="rem-source-bh"/>
    <w:p>
      <w:pPr>
        <w:pStyle w:val="BodyText"/>
      </w:pPr>
      <w:r>
        <w:rPr>
          <w:i/>
          <w:iCs/>
        </w:rPr>
        <w:t xml:space="preserve">Remark 8</w:t>
      </w:r>
      <w:r>
        <w:t xml:space="preserve"> (Source: Benjamini–Hochberg procedure). </w:t>
      </w:r>
      <w:r>
        <w:t xml:space="preserve">Benjamini and Hochberg</w:t>
      </w:r>
      <w:r>
        <w:t xml:space="preserve"> </w:t>
      </w:r>
      <w:r>
        <w:t xml:space="preserve">(1995)</w:t>
      </w:r>
      <w:r>
        <w:t xml:space="preserve">.</w:t>
      </w:r>
    </w:p>
    <w:bookmarkEnd w:id="77"/>
    <w:bookmarkStart w:id="78" w:name="rem-bh-step-up"/>
    <w:p>
      <w:pPr>
        <w:pStyle w:val="BodyText"/>
      </w:pPr>
      <w:r>
        <w:rPr>
          <w:i/>
          <w:iCs/>
        </w:rPr>
        <w:t xml:space="preserve">Remark 9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8"/>
    <w:bookmarkStart w:id="79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9"/>
    <w:bookmarkStart w:id="80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80"/>
    <w:bookmarkStart w:id="81" w:name="rem-source-bh-fdr"/>
    <w:p>
      <w:pPr>
        <w:pStyle w:val="FirstParagraph"/>
      </w:pPr>
      <w:r>
        <w:rPr>
          <w:i/>
          <w:iCs/>
        </w:rPr>
        <w:t xml:space="preserve">Remark 10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(1995)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1"/>
    <w:bookmarkStart w:id="82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2"/>
    <w:bookmarkStart w:id="83" w:name="rem-bh-dependence"/>
    <w:p>
      <w:pPr>
        <w:pStyle w:val="BodyText"/>
      </w:pPr>
      <w:r>
        <w:rPr>
          <w:i/>
          <w:iCs/>
        </w:rPr>
        <w:t xml:space="preserve">Remark 11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3"/>
    <w:bookmarkEnd w:id="84"/>
    <w:bookmarkEnd w:id="85"/>
    <w:bookmarkStart w:id="90" w:name="sec-adjusted-p-values"/>
    <w:p>
      <w:pPr>
        <w:pStyle w:val="Heading2"/>
      </w:pPr>
      <w:r>
        <w:t xml:space="preserve">6 Adjusted p-values and q-values</w:t>
      </w:r>
    </w:p>
    <w:bookmarkStart w:id="86" w:name="def-adjusted-p-value"/>
    <w:p>
      <w:pPr>
        <w:pStyle w:val="FirstParagraph"/>
      </w:pPr>
      <w:r>
        <w:rPr>
          <w:b/>
          <w:bCs/>
        </w:rPr>
        <w:t xml:space="preserve">Definition 11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6"/>
    <w:bookmarkStart w:id="87" w:name="rem-adjusted-p-value-levels"/>
    <w:p>
      <w:pPr>
        <w:pStyle w:val="FirstParagraph"/>
      </w:pPr>
      <w:r>
        <w:rPr>
          <w:i/>
          <w:iCs/>
        </w:rPr>
        <w:t xml:space="preserve">Remark 12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7"/>
    <w:bookmarkStart w:id="88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8"/>
    <w:bookmarkStart w:id="89" w:name="rem-q-value"/>
    <w:p>
      <w:pPr>
        <w:pStyle w:val="BodyText"/>
      </w:pPr>
      <w:r>
        <w:rPr>
          <w:i/>
          <w:iCs/>
        </w:rPr>
        <w:t xml:space="preserve">Remark 13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9"/>
    <w:bookmarkEnd w:id="90"/>
    <w:bookmarkStart w:id="93" w:name="sec-procedure-comparison"/>
    <w:p>
      <w:pPr>
        <w:pStyle w:val="Heading2"/>
      </w:pPr>
      <w:r>
        <w:t xml:space="preserve">7 Comparing the procedures</w:t>
      </w:r>
    </w:p>
    <w:bookmarkStart w:id="91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1"/>
    <w:bookmarkStart w:id="92" w:name="rem-choosing-error-rate"/>
    <w:p>
      <w:pPr>
        <w:pStyle w:val="BodyText"/>
      </w:pPr>
      <w:r>
        <w:rPr>
          <w:i/>
          <w:iCs/>
        </w:rPr>
        <w:t xml:space="preserve">Remark 14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2"/>
    <w:bookmarkEnd w:id="93"/>
    <w:bookmarkStart w:id="95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4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5"/>
    <w:bookmarkStart w:id="113" w:name="references"/>
    <w:p>
      <w:pPr>
        <w:pStyle w:val="Heading2"/>
      </w:pPr>
      <w:r>
        <w:t xml:space="preserve">References</w:t>
      </w:r>
    </w:p>
    <w:bookmarkStart w:id="112" w:name="refs"/>
    <w:bookmarkStart w:id="97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96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97"/>
    <w:bookmarkStart w:id="99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98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99"/>
    <w:bookmarkStart w:id="10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0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01"/>
    <w:bookmarkStart w:id="103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102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103"/>
    <w:bookmarkStart w:id="104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104"/>
    <w:bookmarkStart w:id="106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5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6"/>
    <w:bookmarkStart w:id="108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07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08"/>
    <w:bookmarkStart w:id="10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09"/>
    <w:bookmarkStart w:id="111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10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11"/>
    <w:bookmarkEnd w:id="112"/>
    <w:bookmarkEnd w:id="1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8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5" Target="https://doi.org/10.1007/978-1-0716-1418-1" TargetMode="External" /><Relationship Type="http://schemas.openxmlformats.org/officeDocument/2006/relationships/hyperlink" Id="rId102" Target="https://doi.org/10.1017/CBO9781316576533" TargetMode="External" /><Relationship Type="http://schemas.openxmlformats.org/officeDocument/2006/relationships/hyperlink" Id="rId107" Target="https://doi.org/10.1038/89044" TargetMode="External" /><Relationship Type="http://schemas.openxmlformats.org/officeDocument/2006/relationships/hyperlink" Id="rId110" Target="https://doi.org/10.1111/1467-9868.00346" TargetMode="External" /><Relationship Type="http://schemas.openxmlformats.org/officeDocument/2006/relationships/hyperlink" Id="rId96" Target="https://doi.org/10.1111/j.2517-6161.1995.tb02031.x" TargetMode="External" /><Relationship Type="http://schemas.openxmlformats.org/officeDocument/2006/relationships/hyperlink" Id="rId98" Target="https://doi.org/10.1214/aos/1013699998" TargetMode="External" /><Relationship Type="http://schemas.openxmlformats.org/officeDocument/2006/relationships/hyperlink" Id="rId94" Target="https://web.stanford.edu/~lindrew/stats300C.pdf" TargetMode="External" /><Relationship Type="http://schemas.openxmlformats.org/officeDocument/2006/relationships/hyperlink" Id="rId100" Target="https://www.cengage.com/c/statistical-inference-2e-casella-berger/9780534243128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8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5" Target="https://doi.org/10.1007/978-1-0716-1418-1" TargetMode="External" /><Relationship Type="http://schemas.openxmlformats.org/officeDocument/2006/relationships/hyperlink" Id="rId102" Target="https://doi.org/10.1017/CBO9781316576533" TargetMode="External" /><Relationship Type="http://schemas.openxmlformats.org/officeDocument/2006/relationships/hyperlink" Id="rId107" Target="https://doi.org/10.1038/89044" TargetMode="External" /><Relationship Type="http://schemas.openxmlformats.org/officeDocument/2006/relationships/hyperlink" Id="rId110" Target="https://doi.org/10.1111/1467-9868.00346" TargetMode="External" /><Relationship Type="http://schemas.openxmlformats.org/officeDocument/2006/relationships/hyperlink" Id="rId96" Target="https://doi.org/10.1111/j.2517-6161.1995.tb02031.x" TargetMode="External" /><Relationship Type="http://schemas.openxmlformats.org/officeDocument/2006/relationships/hyperlink" Id="rId98" Target="https://doi.org/10.1214/aos/1013699998" TargetMode="External" /><Relationship Type="http://schemas.openxmlformats.org/officeDocument/2006/relationships/hyperlink" Id="rId94" Target="https://web.stanford.edu/~lindrew/stats300C.pdf" TargetMode="External" /><Relationship Type="http://schemas.openxmlformats.org/officeDocument/2006/relationships/hyperlink" Id="rId100" Target="https://www.cengage.com/c/statistical-inference-2e-casella-berger/9780534243128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2026-10-15T20:22:41Z</dcterms:created>
  <dcterms:modified xsi:type="dcterms:W3CDTF">2026-10-15T20:22:41Z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13:07:45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