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2026-10-17 08:08:58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(2019, sec. 7.3, pp. 323–328)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(2019, sec. 8.4, pp. 385–391)</w:t>
      </w:r>
      <w:r>
        <w:t xml:space="preserve"> </w:t>
      </w:r>
      <w:r>
        <w:t xml:space="preserve">covers tests about proportions.</w:t>
      </w:r>
    </w:p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p>
      <w:pPr>
        <w:pStyle w:val="Compact"/>
        <w:numPr>
          <w:ilvl w:val="0"/>
          <w:numId w:val="1002"/>
        </w:numPr>
      </w:pPr>
      <w:r>
        <w:t xml:space="preserve">Hogg et al. (2019, sec. 9.1, pp. 425–434)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(2019, sec. 9.2, pp. 435–445)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(2007, sec. 13.3, pp. 516–519)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(2007, sec. 13.4, pp. 520–522)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(2007, sec. 9.5, pp. 341–346)</w:t>
      </w:r>
      <w:r>
        <w:t xml:space="preserve"> </w:t>
      </w:r>
      <w:r>
        <w:t xml:space="preserve">covers likelihood ratio tests for the multinomial distribution.</w:t>
      </w:r>
    </w:p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p>
      <w:pPr>
        <w:pStyle w:val="BodyText"/>
      </w:pPr>
      <w:r>
        <w:t xml:space="preserve">Rice (2007, sec. 13.2, pp. 514–515)</w:t>
      </w:r>
      <w:r>
        <w:t xml:space="preserve"> </w:t>
      </w:r>
      <w:r>
        <w:t xml:space="preserve">covers Fisher’s exact test.</w:t>
      </w:r>
    </w:p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p>
      <w:pPr>
        <w:pStyle w:val="BodyText"/>
      </w:pPr>
      <w:r>
        <w:t xml:space="preserve">Rice (2007, sec. 13.6, pp. 526–529)</w:t>
      </w:r>
      <w:r>
        <w:t xml:space="preserve"> </w:t>
      </w:r>
      <w:r>
        <w:t xml:space="preserve">covers odds ratios.</w:t>
      </w:r>
    </w:p>
    <w:bookmarkEnd w:id="30"/>
    <w:bookmarkEnd w:id="31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3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3"/>
    <w:bookmarkStart w:id="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4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4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2026-10-17T15:24:15Z</dcterms:created>
  <dcterms:modified xsi:type="dcterms:W3CDTF">2026-10-17T15:24:15Z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08:08:58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