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7.3, pp. 323–328)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confidence intervals for proportions.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8.4, pp. 385–391)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tests about proportions.</w:t>
        </w:r>
      </w:ins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Hogg et al. (2019, sec. 9.1, pp. 425–434)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chi-square goodness-of-fit tests.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Hogg et al. (2019, sec. 9.2, pp. 435–445)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contingency tables.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6-01-01T00:00:00Z">
        <w:r>
          <w:t xml:space="preserve">Rice (2007, sec. 13.3, pp. 516–519)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the chi-square test of homogeneity.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6-01-01T00:00:00Z">
        <w:r>
          <w:t xml:space="preserve">Rice (2007, sec. 13.4, pp. 520–522)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the chi-square test of independence.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6-01-01T00:00:00Z">
        <w:r>
          <w:t xml:space="preserve">Rice (2007, sec. 9.5, pp. 341–346)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likelihood ratio tests for the multinomial distribution.</w:t>
        </w:r>
      </w:ins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ins w:id="24" w:author="PR Preview" w:date="2026-01-01T00:00:00Z">
        <w:r>
          <w:t xml:space="preserve">Rice (2007, sec. 13.2, pp. 514–515)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Fisher’s exact test.</w:t>
        </w:r>
      </w:ins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ins w:id="27" w:author="PR Preview" w:date="2026-01-01T00:00:00Z">
        <w:r>
          <w:t xml:space="preserve">Rice (2007, sec. 13.6, pp. 526–529)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covers odds ratios.</w:t>
        </w:r>
      </w:ins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ins w:id="30" w:author="PR Preview" w:date="2026-01-01T00:00:00Z">
        <w:r>
          <w:t xml:space="preserve">Rice, John A. 2007.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3" w:author="PR Preview" w:date="2026-01-01T00:00:00Z">
        <w:r>
          <w:t xml:space="preserve">. 3rd ed. Cengage Learning.</w:t>
        </w:r>
      </w:ins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2026-10-15T15:53:25Z</dcterms:created>
  <dcterms:modified xsi:type="dcterms:W3CDTF">2026-10-15T15:53:25Z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