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ins w:id="3" w:author="PR Preview" w:date="2026-01-01T00:00:00Z">
        <w:r>
          <w:t xml:space="preserve">Hogg et al. (2019, sec. 6.1, pp. 233–244)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descriptive statistics.</w:t>
        </w:r>
      </w:ins>
    </w:p>
    <w:p>
      <w:pPr>
        <w:pStyle w:val="Compact"/>
        <w:numPr>
          <w:ilvl w:val="0"/>
          <w:numId w:val="1004"/>
        </w:numPr>
      </w:pPr>
      <w:ins w:id="6" w:author="PR Preview" w:date="2026-01-01T00:00:00Z">
        <w:r>
          <w:t xml:space="preserve">Rice (2007, secs. 10.4–10.5, pp. 392–401)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measures of location and dispersion.</w:t>
        </w:r>
      </w:ins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ins w:id="9" w:author="PR Preview" w:date="2026-01-01T00:00:00Z">
        <w:r>
          <w:t xml:space="preserve">Hogg et al. (2019, sec. 6.2, pp. 245–255)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exploratory data analysis.</w:t>
        </w:r>
      </w:ins>
    </w:p>
    <w:p>
      <w:pPr>
        <w:pStyle w:val="Compact"/>
        <w:numPr>
          <w:ilvl w:val="0"/>
          <w:numId w:val="1006"/>
        </w:numPr>
      </w:pPr>
      <w:ins w:id="12" w:author="PR Preview" w:date="2026-01-01T00:00:00Z">
        <w:r>
          <w:t xml:space="preserve">Rice (2007, sec. 10.2.3, pp. 385–388)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quantile-quantile plots.</w:t>
        </w:r>
      </w:ins>
    </w:p>
    <w:p>
      <w:pPr>
        <w:pStyle w:val="Compact"/>
        <w:numPr>
          <w:ilvl w:val="0"/>
          <w:numId w:val="1006"/>
        </w:numPr>
      </w:pPr>
      <w:ins w:id="15" w:author="PR Preview" w:date="2026-01-01T00:00:00Z">
        <w:r>
          <w:t xml:space="preserve">Rice (2007, sec. 10.3, pp. 389–391)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histograms, density curves and stem-and-leaf plots.</w:t>
        </w:r>
      </w:ins>
    </w:p>
    <w:p>
      <w:pPr>
        <w:pStyle w:val="Compact"/>
        <w:numPr>
          <w:ilvl w:val="0"/>
          <w:numId w:val="1006"/>
        </w:numPr>
      </w:pPr>
      <w:ins w:id="18" w:author="PR Preview" w:date="2026-01-01T00:00:00Z">
        <w:r>
          <w:t xml:space="preserve">Rice (2007, sec. 10.6, pp. 402–403)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boxplots.</w:t>
        </w:r>
      </w:ins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ins w:id="21" w:author="PR Preview" w:date="2026-01-01T00:00:00Z">
        <w:r>
          <w:t xml:space="preserve">Rice (2007, sec. 10.7, pp. 404–406)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scatterplots.</w:t>
        </w:r>
      </w:ins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1" w:name="ref-hoggtanis2015"/>
    <w:p>
      <w:pPr>
        <w:pStyle w:val="Bibliography"/>
      </w:pPr>
      <w:ins w:id="24" w:author="PR Preview" w:date="2026-01-01T00:00:00Z">
        <w:r>
          <w:t xml:space="preserve">Hogg, Robert V., Elliot A. Tanis, and Dale L. Zimmerman. 2019.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Probability and Statistical Inference</w:t>
        </w:r>
      </w:ins>
      <w:ins w:id="27" w:author="PR Preview" w:date="2026-01-01T00:00:00Z">
        <w:r>
          <w:t xml:space="preserve">. Tenth edition. Pearson.</w:t>
        </w:r>
      </w:ins>
    </w:p>
    <w:bookmarkEnd w:id="141"/>
    <w:bookmarkStart w:id="1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3"/>
    <w:bookmarkStart w:id="144" w:name="ref-rice2007mathematical"/>
    <w:p>
      <w:pPr>
        <w:pStyle w:val="Bibliography"/>
      </w:pPr>
      <w:ins w:id="28" w:author="PR Preview" w:date="2026-01-01T00:00:00Z">
        <w:r>
          <w:t xml:space="preserve">Rice, John A. 2007.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1" w:author="PR Preview" w:date="2026-01-01T00:00:00Z">
        <w:r>
          <w:t xml:space="preserve">. 3rd ed. Cengage Learning.</w:t>
        </w:r>
      </w:ins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2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5" Type="http://schemas.openxmlformats.org/officeDocument/2006/relationships/hyperlink" Target="https://doi.org/10.1001/jama.1975.03260080034016" TargetMode="External"/><Relationship Id="rId142" Type="http://schemas.openxmlformats.org/officeDocument/2006/relationships/hyperlink" Target="https://doi.org/10.1007/978-1-0716-1418-1" TargetMode="External"/><Relationship Id="rId147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2026-10-15T15:56:04Z</dcterms:created>
  <dcterms:modified xsi:type="dcterms:W3CDTF">2026-10-15T15:56:04Z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