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2026-10-12 19:38:44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19:46:04 (PDT)</w:t>
        </w:r>
      </w:ins>
    </w:p>
    <w:bookmarkStart w:id="15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End w:id="15"/>
    <w:bookmarkStart w:id="39" w:name="summarizing-a-single-variable"/>
    <w:p>
      <w:pPr>
        <w:pStyle w:val="Heading2"/>
      </w:pPr>
      <w:r>
        <w:t xml:space="preserve">2 Summarizing a single variable</w:t>
      </w:r>
    </w:p>
    <w:bookmarkStart w:id="21" w:name="measures-of-center"/>
    <w:p>
      <w:pPr>
        <w:pStyle w:val="Heading3"/>
      </w:pPr>
      <w:r>
        <w:t xml:space="preserve">2.1 Measures of center</w:t>
      </w:r>
    </w:p>
    <w:bookmarkStart w:id="16" w:name="def-sample-mean"/>
    <w:p>
      <w:pPr>
        <w:pStyle w:val="FirstParagraph"/>
      </w:pPr>
      <w:r>
        <w:rPr>
          <w:b/>
          <w:bCs/>
        </w:rPr>
        <w:t xml:space="preserve">Definition 1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"/>
    <w:bookmarkStart w:id="17" w:name="exm-sample-mean"/>
    <w:p>
      <w:pPr>
        <w:pStyle w:val="FirstParagraph"/>
      </w:pPr>
      <w:r>
        <w:rPr>
          <w:b/>
          <w:bCs/>
        </w:rPr>
        <w:t xml:space="preserve">Example 1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17"/>
    <w:bookmarkStart w:id="19" w:name="def-sample-median"/>
    <w:p>
      <w:pPr>
        <w:pStyle w:val="FirstParagraph"/>
      </w:pPr>
      <w:r>
        <w:rPr>
          <w:b/>
          <w:bCs/>
        </w:rPr>
        <w:t xml:space="preserve">Definition 2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18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9"/>
    <w:bookmarkStart w:id="20" w:name="exm-sample-median"/>
    <w:p>
      <w:pPr>
        <w:pStyle w:val="FirstParagraph"/>
      </w:pPr>
      <w:r>
        <w:rPr>
          <w:b/>
          <w:bCs/>
        </w:rPr>
        <w:t xml:space="preserve">Example 2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0"/>
    <w:bookmarkEnd w:id="21"/>
    <w:bookmarkStart w:id="32" w:name="measures-of-spread"/>
    <w:p>
      <w:pPr>
        <w:pStyle w:val="Heading3"/>
      </w:pPr>
      <w:r>
        <w:t xml:space="preserve">2.2 Measures of spread</w:t>
      </w:r>
    </w:p>
    <w:bookmarkStart w:id="22" w:name="def-sample-variance"/>
    <w:p>
      <w:pPr>
        <w:pStyle w:val="FirstParagraph"/>
      </w:pPr>
      <w:r>
        <w:rPr>
          <w:b/>
          <w:bCs/>
        </w:rPr>
        <w:t xml:space="preserve">Definition 3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22"/>
    <w:bookmarkStart w:id="23" w:name="def-sample-sd"/>
    <w:p>
      <w:pPr>
        <w:pStyle w:val="FirstParagraph"/>
      </w:pPr>
      <w:r>
        <w:rPr>
          <w:b/>
          <w:bCs/>
        </w:rPr>
        <w:t xml:space="preserve">Definition 4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23"/>
    <w:bookmarkStart w:id="24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24"/>
    <w:bookmarkStart w:id="25" w:name="exm-sample-sd"/>
    <w:p>
      <w:pPr>
        <w:pStyle w:val="BodyText"/>
      </w:pPr>
      <w:r>
        <w:rPr>
          <w:b/>
          <w:bCs/>
        </w:rPr>
        <w:t xml:space="preserve">Example 3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25"/>
    <w:bookmarkStart w:id="27" w:name="def-quartiles"/>
    <w:p>
      <w:pPr>
        <w:pStyle w:val="BodyText"/>
      </w:pPr>
      <w:r>
        <w:rPr>
          <w:b/>
          <w:bCs/>
        </w:rPr>
        <w:t xml:space="preserve">Definition 5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27"/>
    <w:bookmarkStart w:id="29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29"/>
    <w:bookmarkStart w:id="30" w:name="def-IQR"/>
    <w:p>
      <w:pPr>
        <w:pStyle w:val="BodyText"/>
      </w:pPr>
      <w:r>
        <w:rPr>
          <w:b/>
          <w:bCs/>
        </w:rPr>
        <w:t xml:space="preserve">Definition 6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0"/>
    <w:bookmarkStart w:id="31" w:name="exm-IQR"/>
    <w:p>
      <w:pPr>
        <w:pStyle w:val="FirstParagraph"/>
      </w:pPr>
      <w:r>
        <w:rPr>
          <w:b/>
          <w:bCs/>
        </w:rPr>
        <w:t xml:space="preserve">Example 4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31"/>
    <w:bookmarkEnd w:id="32"/>
    <w:bookmarkStart w:id="34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5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33"/>
        </w:tc>
      </w:tr>
    </w:tbl>
    <w:bookmarkEnd w:id="34"/>
    <w:bookmarkStart w:id="38" w:name="binary-and-categorical-variables"/>
    <w:p>
      <w:pPr>
        <w:pStyle w:val="Heading3"/>
      </w:pPr>
      <w:r>
        <w:t xml:space="preserve">2.4 Binary and categorical variables</w:t>
      </w:r>
    </w:p>
    <w:bookmarkStart w:id="35" w:name="def-sample-proportion"/>
    <w:p>
      <w:pPr>
        <w:pStyle w:val="FirstParagraph"/>
      </w:pPr>
      <w:r>
        <w:rPr>
          <w:b/>
          <w:bCs/>
        </w:rPr>
        <w:t xml:space="preserve">Definition 7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35"/>
    <w:bookmarkStart w:id="36" w:name="exm-sample-proportion"/>
    <w:p>
      <w:pPr>
        <w:pStyle w:val="BodyText"/>
      </w:pPr>
      <w:r>
        <w:rPr>
          <w:b/>
          <w:bCs/>
        </w:rPr>
        <w:t xml:space="preserve">Example 5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36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37"/>
        </w:tc>
      </w:tr>
    </w:tbl>
    <w:bookmarkEnd w:id="38"/>
    <w:bookmarkEnd w:id="39"/>
    <w:bookmarkStart w:id="7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46" w:name="histograms"/>
    <w:p>
      <w:pPr>
        <w:pStyle w:val="Heading3"/>
      </w:pPr>
      <w:r>
        <w:t xml:space="preserve">3.1 Histograms</w:t>
      </w:r>
    </w:p>
    <w:bookmarkStart w:id="40" w:name="def-histogram"/>
    <w:p>
      <w:pPr>
        <w:pStyle w:val="FirstParagraph"/>
      </w:pPr>
      <w:r>
        <w:rPr>
          <w:b/>
          <w:bCs/>
        </w:rPr>
        <w:t xml:space="preserve">Definition 8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0"/>
    <w:bookmarkStart w:id="41" w:name="def-bin"/>
    <w:p>
      <w:pPr>
        <w:pStyle w:val="BodyText"/>
      </w:pPr>
      <w:r>
        <w:rPr>
          <w:b/>
          <w:bCs/>
        </w:rPr>
        <w:t xml:space="preserve">Definition 9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4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45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46"/>
    <w:bookmarkStart w:id="52" w:name="density-plots"/>
    <w:p>
      <w:pPr>
        <w:pStyle w:val="Heading3"/>
      </w:pPr>
      <w:r>
        <w:t xml:space="preserve">3.2 Density plots</w:t>
      </w:r>
    </w:p>
    <w:bookmarkStart w:id="47" w:name="def-density-plot"/>
    <w:p>
      <w:pPr>
        <w:pStyle w:val="FirstParagraph"/>
      </w:pPr>
      <w:r>
        <w:rPr>
          <w:b/>
          <w:bCs/>
        </w:rPr>
        <w:t xml:space="preserve">Definition 10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4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51"/>
        </w:tc>
      </w:tr>
    </w:tbl>
    <w:bookmarkEnd w:id="52"/>
    <w:bookmarkStart w:id="59" w:name="box-plots"/>
    <w:p>
      <w:pPr>
        <w:pStyle w:val="Heading3"/>
      </w:pPr>
      <w:r>
        <w:t xml:space="preserve">3.3 Box plots</w:t>
      </w:r>
    </w:p>
    <w:bookmarkStart w:id="53" w:name="def-boxplot"/>
    <w:p>
      <w:pPr>
        <w:pStyle w:val="FirstParagraph"/>
      </w:pPr>
      <w:r>
        <w:rPr>
          <w:b/>
          <w:bCs/>
        </w:rPr>
        <w:t xml:space="preserve">Definition 11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53"/>
    <w:bookmarkStart w:id="54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5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58"/>
        </w:tc>
      </w:tr>
    </w:tbl>
    <w:bookmarkEnd w:id="59"/>
    <w:bookmarkStart w:id="65" w:name="bar-charts"/>
    <w:p>
      <w:pPr>
        <w:pStyle w:val="Heading3"/>
      </w:pPr>
      <w:r>
        <w:t xml:space="preserve">3.4 Bar charts</w:t>
      </w:r>
    </w:p>
    <w:bookmarkStart w:id="60" w:name="def-bar-chart"/>
    <w:p>
      <w:pPr>
        <w:pStyle w:val="FirstParagraph"/>
      </w:pPr>
      <w:r>
        <w:rPr>
          <w:b/>
          <w:bCs/>
        </w:rPr>
        <w:t xml:space="preserve">Definition 12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64"/>
        </w:tc>
      </w:tr>
    </w:tbl>
    <w:bookmarkEnd w:id="65"/>
    <w:bookmarkStart w:id="71" w:name="normal-quantile-quantile-plots"/>
    <w:p>
      <w:pPr>
        <w:pStyle w:val="Heading3"/>
      </w:pPr>
      <w:r>
        <w:t xml:space="preserve">3.5 Normal quantile-quantile plots</w:t>
      </w:r>
    </w:p>
    <w:bookmarkStart w:id="66" w:name="def-qq-plot"/>
    <w:p>
      <w:pPr>
        <w:pStyle w:val="FirstParagraph"/>
      </w:pPr>
      <w:r>
        <w:rPr>
          <w:b/>
          <w:bCs/>
        </w:rPr>
        <w:t xml:space="preserve">Definition 13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6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71"/>
    <w:bookmarkEnd w:id="72"/>
    <w:bookmarkStart w:id="99" w:name="bivariate-relationships"/>
    <w:p>
      <w:pPr>
        <w:pStyle w:val="Heading2"/>
      </w:pPr>
      <w:r>
        <w:t xml:space="preserve">4 Bivariate relationships</w:t>
      </w:r>
    </w:p>
    <w:bookmarkStart w:id="84" w:name="two-continuous-variables"/>
    <w:p>
      <w:pPr>
        <w:pStyle w:val="Heading3"/>
      </w:pPr>
      <w:r>
        <w:t xml:space="preserve">4.1 Two continuous variables</w:t>
      </w:r>
    </w:p>
    <w:bookmarkStart w:id="73" w:name="def-scatterplot"/>
    <w:p>
      <w:pPr>
        <w:pStyle w:val="FirstParagraph"/>
      </w:pPr>
      <w:r>
        <w:rPr>
          <w:b/>
          <w:bCs/>
        </w:rPr>
        <w:t xml:space="preserve">Definition 14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7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77"/>
        </w:tc>
      </w:tr>
    </w:tbl>
    <w:bookmarkStart w:id="78" w:name="def-pearson-r"/>
    <w:p>
      <w:pPr>
        <w:pStyle w:val="BodyText"/>
      </w:pPr>
      <w:r>
        <w:rPr>
          <w:b/>
          <w:bCs/>
        </w:rPr>
        <w:t xml:space="preserve">Definition 15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78"/>
    <w:bookmarkStart w:id="7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80" w:name="exm-pearson-r"/>
    <w:p>
      <w:pPr>
        <w:pStyle w:val="BodyText"/>
      </w:pPr>
      <w:r>
        <w:rPr>
          <w:b/>
          <w:bCs/>
        </w:rPr>
        <w:t xml:space="preserve">Example 6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84"/>
    <w:bookmarkStart w:id="9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8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9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93"/>
        </w:tc>
      </w:tr>
    </w:tbl>
    <w:bookmarkEnd w:id="94"/>
    <w:bookmarkStart w:id="98" w:name="two-categorical-variables"/>
    <w:p>
      <w:pPr>
        <w:pStyle w:val="Heading3"/>
      </w:pPr>
      <w:r>
        <w:t xml:space="preserve">4.3 Two categorical variables</w:t>
      </w:r>
    </w:p>
    <w:bookmarkStart w:id="95" w:name="def-contingency-table"/>
    <w:p>
      <w:pPr>
        <w:pStyle w:val="FirstParagraph"/>
      </w:pPr>
      <w:r>
        <w:rPr>
          <w:b/>
          <w:bCs/>
        </w:rPr>
        <w:t xml:space="preserve">Definition 16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95"/>
    <w:bookmarkStart w:id="97" w:name="exm-contingency-table"/>
    <w:p>
      <w:pPr>
        <w:pStyle w:val="BodyText"/>
      </w:pPr>
      <w:r>
        <w:rPr>
          <w:b/>
          <w:bCs/>
        </w:rPr>
        <w:t xml:space="preserve">Example 7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96"/>
        </w:tc>
      </w:tr>
    </w:tbl>
    <w:bookmarkEnd w:id="97"/>
    <w:bookmarkEnd w:id="98"/>
    <w:bookmarkEnd w:id="99"/>
    <w:bookmarkStart w:id="126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08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03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0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0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0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07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0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0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0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08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25" w:name="sec-rescaling"/>
    <w:p>
      <w:pPr>
        <w:pStyle w:val="Heading3"/>
      </w:pPr>
      <w:r>
        <w:t xml:space="preserve">5.1 Rescaling a variable</w:t>
      </w:r>
    </w:p>
    <w:bookmarkStart w:id="109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09"/>
    <w:bookmarkStart w:id="110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10"/>
    <w:bookmarkStart w:id="114" w:name="def-standardization"/>
    <w:p>
      <w:pPr>
        <w:pStyle w:val="FirstParagraph"/>
      </w:pPr>
      <w:r>
        <w:rPr>
          <w:b/>
          <w:bCs/>
        </w:rPr>
        <w:t xml:space="preserve">Definition 17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14"/>
    <w:bookmarkStart w:id="115" w:name="rem-standardization-units"/>
    <w:p>
      <w:pPr>
        <w:pStyle w:val="BodyText"/>
      </w:pPr>
      <w:r>
        <w:rPr>
          <w:i/>
          <w:iCs/>
        </w:rPr>
        <w:t xml:space="preserve">Remark 4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15"/>
    <w:bookmarkStart w:id="118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19" w:name="exm-scale-wcgs"/>
    <w:p>
      <w:pPr>
        <w:pStyle w:val="BodyText"/>
      </w:pPr>
      <w:r>
        <w:rPr>
          <w:b/>
          <w:bCs/>
        </w:rPr>
        <w:t xml:space="preserve">Example 8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19"/>
    <w:bookmarkStart w:id="122" w:name="def-min-max-scaling"/>
    <w:p>
      <w:pPr>
        <w:pStyle w:val="BodyText"/>
      </w:pPr>
      <w:r>
        <w:rPr>
          <w:b/>
          <w:bCs/>
        </w:rPr>
        <w:t xml:space="preserve">Definition 18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22"/>
    <w:bookmarkStart w:id="123" w:name="rem-min-max-outliers"/>
    <w:p>
      <w:pPr>
        <w:pStyle w:val="BodyText"/>
      </w:pPr>
      <w:r>
        <w:rPr>
          <w:i/>
          <w:iCs/>
        </w:rPr>
        <w:t xml:space="preserve">Remark 5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3"/>
    <w:bookmarkStart w:id="124" w:name="exm-min-max-wcgs"/>
    <w:p>
      <w:pPr>
        <w:pStyle w:val="BodyText"/>
      </w:pPr>
      <w:r>
        <w:rPr>
          <w:b/>
          <w:bCs/>
        </w:rPr>
        <w:t xml:space="preserve">Example 9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24"/>
    <w:bookmarkEnd w:id="125"/>
    <w:bookmarkEnd w:id="126"/>
    <w:bookmarkStart w:id="128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27"/>
        </w:tc>
      </w:tr>
    </w:tbl>
    <w:bookmarkEnd w:id="128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29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29"/>
    <w:bookmarkStart w:id="131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0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1"/>
    <w:bookmarkStart w:id="133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32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1" Type="http://schemas.openxmlformats.org/officeDocument/2006/relationships/image" Target="media/rId81.png"/><Relationship Id="rId111" Type="http://schemas.openxmlformats.org/officeDocument/2006/relationships/image" Target="media/rId111.png"/><Relationship Id="rId55" Type="http://schemas.openxmlformats.org/officeDocument/2006/relationships/image" Target="media/rId55.png"/><Relationship Id="rId61" Type="http://schemas.openxmlformats.org/officeDocument/2006/relationships/image" Target="media/rId61.png"/><Relationship Id="rId67" Type="http://schemas.openxmlformats.org/officeDocument/2006/relationships/image" Target="media/rId67.png"/><Relationship Id="rId74" Type="http://schemas.openxmlformats.org/officeDocument/2006/relationships/image" Target="media/rId74.png"/><Relationship Id="rId85" Type="http://schemas.openxmlformats.org/officeDocument/2006/relationships/image" Target="media/rId85.png"/><Relationship Id="rId89" Type="http://schemas.openxmlformats.org/officeDocument/2006/relationships/image" Target="media/rId89.png"/><Relationship Id="rId100" Type="http://schemas.openxmlformats.org/officeDocument/2006/relationships/image" Target="media/rId100.png"/><Relationship Id="rId104" Type="http://schemas.openxmlformats.org/officeDocument/2006/relationships/image" Target="media/rId104.png"/><Relationship Id="rId42" Type="http://schemas.openxmlformats.org/officeDocument/2006/relationships/image" Target="media/rId42.png"/><Relationship Id="rId48" Type="http://schemas.openxmlformats.org/officeDocument/2006/relationships/image" Target="media/rId48.png"/><Relationship Id="rId132" Type="http://schemas.openxmlformats.org/officeDocument/2006/relationships/hyperlink" Target="https://doi.org/10.1001/jama.1975.03260080034016" TargetMode="External"/><Relationship Id="rId130" Type="http://schemas.openxmlformats.org/officeDocument/2006/relationships/hyperlink" Target="https://doi.org/10.1007/978-1-0716-1418-1" TargetMode="External"/><Relationship Id="rId134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18" Type="http://schemas.openxmlformats.org/officeDocument/2006/relationships/hyperlink" Target="nonparametric-models.qmd#def-order-statistics" TargetMode="External"/><Relationship Id="rId26" Type="http://schemas.openxmlformats.org/officeDocument/2006/relationships/hyperlink" Target="nonparametric-models.qmd#def-sample-quantile" TargetMode="External"/><Relationship Id="rId28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https://doi.org/10.1001/jama.1975.03260080034016" TargetMode="External"/><Relationship Id="rId130" Type="http://schemas.openxmlformats.org/officeDocument/2006/relationships/hyperlink" Target="https://doi.org/10.1007/978-1-0716-1418-1" TargetMode="External"/><Relationship Id="rId134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18" Type="http://schemas.openxmlformats.org/officeDocument/2006/relationships/hyperlink" Target="nonparametric-models.qmd#def-order-statistics" TargetMode="External"/><Relationship Id="rId26" Type="http://schemas.openxmlformats.org/officeDocument/2006/relationships/hyperlink" Target="nonparametric-models.qmd#def-sample-quantile" TargetMode="External"/><Relationship Id="rId28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2026-10-13T03:02:54Z</dcterms:created>
  <dcterms:modified xsi:type="dcterms:W3CDTF">2026-10-13T03:02:54Z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19:46:04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