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2026-10-25 16:51:29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01:07:20 (PDT)</w:t>
        </w:r>
      </w:ins>
    </w:p>
    <w:bookmarkStart w:id="30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numerical-var-sub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(Subtypes of numerical variables). </w:t>
      </w:r>
      <w:r>
        <w:t xml:space="preserve">A</w:t>
      </w:r>
      <w:r>
        <w:t xml:space="preserve"> </w:t>
      </w:r>
      <w:hyperlink w:anchor="def-numerical-var">
        <w:r>
          <w:rPr>
            <w:rStyle w:val="Hyperlink"/>
          </w:rPr>
          <w:t xml:space="preserve">numerical variable</w:t>
        </w:r>
      </w:hyperlink>
      <w:r>
        <w:t xml:space="preserve"> </w:t>
      </w:r>
      <w:r>
        <w:t xml:space="preserve">may be classified in two ways:</w:t>
      </w:r>
      <w:r>
        <w:t xml:space="preserve"> </w:t>
      </w:r>
      <w:r>
        <w:t xml:space="preserve">as an</w:t>
      </w:r>
      <w:r>
        <w:t xml:space="preserve"> </w:t>
      </w:r>
      <w:hyperlink w:anchor="def-interval-var">
        <w:r>
          <w:rPr>
            <w:rStyle w:val="Hyperlink"/>
          </w:rPr>
          <w:t xml:space="preserve">interval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ratio-var">
        <w:r>
          <w:rPr>
            <w:rStyle w:val="Hyperlink"/>
          </w:rPr>
          <w:t xml:space="preserve">ratio variable</w:t>
        </w:r>
      </w:hyperlink>
      <w:r>
        <w:t xml:space="preserve">,</w:t>
      </w:r>
      <w:r>
        <w:t xml:space="preserve"> </w:t>
      </w:r>
      <w:r>
        <w:t xml:space="preserve">and as a</w:t>
      </w:r>
      <w:r>
        <w:t xml:space="preserve"> </w:t>
      </w:r>
      <w:hyperlink w:anchor="def-continuous-var">
        <w:r>
          <w:rPr>
            <w:rStyle w:val="Hyperlink"/>
          </w:rPr>
          <w:t xml:space="preserve">continuous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discrete-var">
        <w:r>
          <w:rPr>
            <w:rStyle w:val="Hyperlink"/>
          </w:rPr>
          <w:t xml:space="preserve">discrete variable</w:t>
        </w:r>
      </w:hyperlink>
      <w:r>
        <w:t xml:space="preserve">.</w:t>
      </w:r>
    </w:p>
    <w:bookmarkEnd w:id="19"/>
    <w:bookmarkStart w:id="20" w:name="rem-discrete-var-types"/>
    <w:p>
      <w:pPr>
        <w:pStyle w:val="BodyText"/>
      </w:pPr>
      <w:r>
        <w:rPr>
          <w:i/>
          <w:iCs/>
        </w:rPr>
        <w:t xml:space="preserve">Remark 2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20"/>
    <w:bookmarkStart w:id="21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1"/>
    <w:bookmarkStart w:id="22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2"/>
    <w:bookmarkStart w:id="23" w:name="rem-categorical-var-kinds"/>
    <w:p>
      <w:pPr>
        <w:pStyle w:val="BodyText"/>
      </w:pPr>
      <w:r>
        <w:rPr>
          <w:i/>
          <w:iCs/>
        </w:rPr>
        <w:t xml:space="preserve">Remark 3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3"/>
    <w:bookmarkStart w:id="24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4"/>
    <w:bookmarkStart w:id="25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5"/>
    <w:bookmarkStart w:id="26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6"/>
    <w:bookmarkStart w:id="27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7"/>
    <w:bookmarkStart w:id="28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8"/>
    <w:bookmarkStart w:id="29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9"/>
    <w:bookmarkEnd w:id="30"/>
    <w:bookmarkStart w:id="42" w:name="sec-dummy-coding"/>
    <w:p>
      <w:pPr>
        <w:pStyle w:val="Heading2"/>
      </w:pPr>
      <w:r>
        <w:t xml:space="preserve">2 Coding a categorical variable with numbers</w:t>
      </w:r>
    </w:p>
    <w:bookmarkStart w:id="31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1"/>
    <w:bookmarkStart w:id="32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2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4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5"/>
    <w:bookmarkStart w:id="36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6"/>
    <w:bookmarkStart w:id="37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4</w:t>
        </w:r>
      </w:hyperlink>
      <w:r>
        <w:t xml:space="preserve">) is not an indicator variable.</w:t>
      </w:r>
    </w:p>
    <w:bookmarkEnd w:id="37"/>
    <w:bookmarkStart w:id="38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8"/>
    <w:bookmarkStart w:id="39" w:name="rem-source-reference-level"/>
    <w:p>
      <w:pPr>
        <w:pStyle w:val="BodyText"/>
      </w:pPr>
      <w:r>
        <w:rPr>
          <w:i/>
          <w:iCs/>
        </w:rPr>
        <w:t xml:space="preserve">Remark 5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9"/>
    <w:bookmarkStart w:id="40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0"/>
    <w:bookmarkStart w:id="41" w:name="rem-reference-level-choice"/>
    <w:p>
      <w:pPr>
        <w:pStyle w:val="BodyText"/>
      </w:pPr>
      <w:r>
        <w:rPr>
          <w:i/>
          <w:iCs/>
        </w:rPr>
        <w:t xml:space="preserve">Remark 6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1"/>
    <w:bookmarkEnd w:id="42"/>
    <w:bookmarkStart w:id="50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0"/>
    <w:bookmarkStart w:id="52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1"/>
          <w:p/>
        </w:tc>
      </w:tr>
    </w:tbl>
    <w:bookmarkEnd w:id="52"/>
    <w:bookmarkStart w:id="64" w:name="random-variables"/>
    <w:p>
      <w:pPr>
        <w:pStyle w:val="Heading2"/>
      </w:pPr>
      <w:r>
        <w:t xml:space="preserve">5 Random variables</w:t>
      </w:r>
    </w:p>
    <w:bookmarkStart w:id="56" w:name="sec-binary-vars"/>
    <w:p>
      <w:pPr>
        <w:pStyle w:val="Heading3"/>
      </w:pPr>
      <w:r>
        <w:t xml:space="preserve">5.1 Binary variables</w:t>
      </w:r>
    </w:p>
    <w:bookmarkStart w:id="53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3"/>
    <w:bookmarkStart w:id="54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</w:t>
      </w:r>
      <w:r>
        <w:t xml:space="preserve"> </w:t>
      </w:r>
      <w:hyperlink w:anchor="def-binary-var">
        <w:r>
          <w:rPr>
            <w:rStyle w:val="Hyperlink"/>
          </w:rPr>
          <w:t xml:space="preserve">binary variables</w:t>
        </w:r>
      </w:hyperlink>
      <w:r>
        <w:t xml:space="preserve"> </w:t>
      </w:r>
      <w:r>
        <w:t xml:space="preserve">in the health sciences?</w:t>
      </w:r>
    </w:p>
    <w:bookmarkEnd w:id="54"/>
    <w:bookmarkStart w:id="55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5"/>
    <w:bookmarkEnd w:id="56"/>
    <w:bookmarkStart w:id="63" w:name="sec-count-vars"/>
    <w:p>
      <w:pPr>
        <w:pStyle w:val="Heading3"/>
      </w:pPr>
      <w:r>
        <w:t xml:space="preserve">5.2 Count variables</w:t>
      </w:r>
    </w:p>
    <w:bookmarkStart w:id="57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7"/>
    <w:bookmarkStart w:id="58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8"/>
    <w:bookmarkStart w:id="59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9"/>
    <w:bookmarkStart w:id="62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Negative binomial distribution</w:t>
        </w:r>
      </w:hyperlink>
    </w:p>
    <w:bookmarkEnd w:id="62"/>
    <w:bookmarkEnd w:id="63"/>
    <w:bookmarkEnd w:id="64"/>
    <w:bookmarkStart w:id="68" w:name="references"/>
    <w:p>
      <w:pPr>
        <w:pStyle w:val="Heading2"/>
      </w:pPr>
      <w:r>
        <w:t xml:space="preserve">References</w:t>
      </w:r>
    </w:p>
    <w:bookmarkStart w:id="67" w:name="refs"/>
    <w:bookmarkStart w:id="6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7" Type="http://schemas.openxmlformats.org/officeDocument/2006/relationships/image" Target="media/rId47.png"/><Relationship Id="rId43" Type="http://schemas.openxmlformats.org/officeDocument/2006/relationships/image" Target="media/rId43.png"/><Relationship Id="rId65" Type="http://schemas.openxmlformats.org/officeDocument/2006/relationships/hyperlink" Target="https://doi.org/10.1201/9781315182780" TargetMode="External"/><Relationship Id="rId61" Type="http://schemas.openxmlformats.org/officeDocument/2006/relationships/hyperlink" Target="https://morrison-lab.github.io/pds/distributions.html#sec-nb-dist" TargetMode="External"/><Relationship Id="rId60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5" Type="http://schemas.openxmlformats.org/officeDocument/2006/relationships/hyperlink" Target="https://doi.org/10.1201/9781315182780" TargetMode="External"/><Relationship Id="rId61" Type="http://schemas.openxmlformats.org/officeDocument/2006/relationships/hyperlink" Target="https://morrison-lab.github.io/pds/distributions.html#sec-nb-dist" TargetMode="External"/><Relationship Id="rId60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2026-10-26T08:21:46Z</dcterms:created>
  <dcterms:modified xsi:type="dcterms:W3CDTF">2026-10-26T08:21:46Z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01:07:20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