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  <Override PartName="/word/media/rId21.png" ContentType="image/png"/>
  <Override PartName="/word/media/rId25.png" ContentType="image/png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2026-10-02 01:47:22 (PDT)</w:t>
      </w:r>
    </w:p>
    <w:bookmarkStart w:id="12" w:name="overfitting"/>
    <w:p>
      <w:pPr>
        <w:pStyle w:val="Heading2"/>
      </w:pPr>
      <w:r>
        <w:t xml:space="preserve">1 Overfitting</w:t>
      </w:r>
    </w:p>
    <w:bookmarkStart w:id="9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 training set.</w:t>
      </w:r>
      <w:r>
        <w:t xml:space="preserve"> </w:t>
      </w:r>
      <w:r>
        <w:t xml:space="preserve">For each model, compute the root mean squared error (RMSE)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rows.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training RMSE?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RMSE on the 12 held-out rows?</w:t>
      </w:r>
    </w:p>
    <w:p>
      <w:pPr>
        <w:pStyle w:val="Compact"/>
        <w:numPr>
          <w:ilvl w:val="0"/>
          <w:numId w:val="1001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9"/>
    <w:bookmarkStart w:id="10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</w:p>
    <w:p>
      <w:pPr>
        <w:numPr>
          <w:ilvl w:val="0"/>
          <w:numId w:val="1002"/>
        </w:numPr>
      </w:pPr>
      <w:r>
        <w:t xml:space="preserve">The smallest training 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RMSE cannot increase as the degree grows.</w:t>
      </w:r>
    </w:p>
    <w:p>
      <w:pPr>
        <w:numPr>
          <w:ilvl w:val="0"/>
          <w:numId w:val="1002"/>
        </w:numPr>
      </w:pPr>
      <w:r>
        <w:t xml:space="preserve">The smallest held-out RMSE is at degree 2.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Going from degree 2 to degree 3 or 4 lowers the training RMSE a little</w:t>
      </w:r>
      <w:r>
        <w:t xml:space="preserve"> </w:t>
      </w:r>
      <w:r>
        <w:t xml:space="preserve">but leaves the held-out 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RMSE also falls.</w:t>
      </w:r>
    </w:p>
    <w:bookmarkEnd w:id="10"/>
    <w:bookmarkStart w:id="11" w:name="def-overfitting"/>
    <w:p>
      <w:pPr>
        <w:pStyle w:val="FirstParagraph"/>
      </w:pPr>
      <w:r>
        <w:rPr>
          <w:b/>
          <w:bCs/>
        </w:rPr>
        <w:t xml:space="preserve">Definition 1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 model fits the training data well</w:t>
      </w:r>
      <w:r>
        <w:t xml:space="preserve"> </w:t>
      </w:r>
      <w:r>
        <w:t xml:space="preserve">but predicts poorly for new observations.</w:t>
      </w:r>
      <w:r>
        <w:t xml:space="preserve"> </w:t>
      </w:r>
      <w:r>
        <w:t xml:space="preserve">It results from including too many predictors</w:t>
      </w:r>
      <w:r>
        <w:t xml:space="preserve"> </w:t>
      </w:r>
      <w:r>
        <w:t xml:space="preserve">relative to the effective sample size.</w:t>
      </w:r>
    </w:p>
    <w:bookmarkEnd w:id="11"/>
    <w:p>
      <w:pPr>
        <w:pStyle w:val="BodyText"/>
      </w:pP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12"/>
    <w:bookmarkStart w:id="36" w:name="sec-data-splits"/>
    <w:p>
      <w:pPr>
        <w:pStyle w:val="Heading2"/>
      </w:pPr>
      <w:r>
        <w:t xml:space="preserve">2 Training, validation, and test sets</w:t>
      </w:r>
    </w:p>
    <w:bookmarkStart w:id="13" w:name="exr-data-splits"/>
    <w:p>
      <w:pPr>
        <w:pStyle w:val="FirstParagraph"/>
      </w:pPr>
      <w:r>
        <w:rPr>
          <w:b/>
          <w:bCs/>
        </w:rPr>
        <w:t xml:space="preserve">Exercise 2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3"/>
    <w:bookmarkStart w:id="14" w:name="sol-data-split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m:oMath>
        <m:r>
          <m:rPr>
            <m:sty m:val="p"/>
          </m:rPr>
          <m:t>⌊</m:t>
        </m:r>
        <m:r>
          <m:t>0.6</m:t>
        </m:r>
        <m:r>
          <m:rPr>
            <m:sty m:val="p"/>
          </m:rPr>
          <m:t>⋅</m:t>
        </m:r>
        <m:r>
          <m:t>32</m:t>
        </m:r>
        <m:r>
          <m:rPr>
            <m:sty m:val="p"/>
          </m:rPr>
          <m:t>⌋</m:t>
        </m:r>
        <m:r>
          <m:rPr>
            <m:sty m:val="p"/>
          </m:rPr>
          <m:t>=</m:t>
        </m:r>
        <m:r>
          <m:rPr>
            <m:sty m:val="p"/>
          </m:rPr>
          <m:t>⌊</m:t>
        </m:r>
        <m:r>
          <m:t>19.2</m:t>
        </m:r>
        <m:r>
          <m:rPr>
            <m:sty m:val="p"/>
          </m:rPr>
          <m:t>⌋</m:t>
        </m:r>
        <m:r>
          <m:rPr>
            <m:sty m:val="p"/>
          </m:rPr>
          <m:t>=</m:t>
        </m:r>
        <m:r>
          <m:t>19</m:t>
        </m:r>
      </m:oMath>
      <w:r>
        <w:t xml:space="preserve"> </w:t>
      </w:r>
      <w:r>
        <w:t xml:space="preserve">training cars,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rPr>
            <m:sty m:val="p"/>
          </m:rPr>
          <m:t>⋅</m:t>
        </m:r>
        <m:r>
          <m:t>32</m:t>
        </m:r>
        <m:r>
          <m:rPr>
            <m:sty m:val="p"/>
          </m:rPr>
          <m:t>⌋</m:t>
        </m:r>
        <m:r>
          <m:rPr>
            <m:sty m:val="p"/>
          </m:rPr>
          <m:t>=</m:t>
        </m:r>
        <m:r>
          <m:rPr>
            <m:sty m:val="p"/>
          </m:rPr>
          <m:t>⌊</m:t>
        </m:r>
        <m:r>
          <m:t>6.4</m:t>
        </m:r>
        <m:r>
          <m:rPr>
            <m:sty m:val="p"/>
          </m:rPr>
          <m:t>⌋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4"/>
    <w:bookmarkStart w:id="15" w:name="def-data-splits"/>
    <w:p>
      <w:pPr>
        <w:pStyle w:val="BodyText"/>
      </w:pPr>
      <w:r>
        <w:rPr>
          <w:b/>
          <w:bCs/>
        </w:rPr>
        <w:t xml:space="preserve">Definition 2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data into three sets:</w:t>
      </w:r>
    </w:p>
    <w:p>
      <w:pPr>
        <w:pStyle w:val="Compact"/>
        <w:numPr>
          <w:ilvl w:val="0"/>
          <w:numId w:val="1003"/>
        </w:numPr>
      </w:pPr>
      <w:r>
        <w:t xml:space="preserve">Use the</w:t>
      </w:r>
      <w:r>
        <w:t xml:space="preserve"> </w:t>
      </w:r>
      <w:r>
        <w:rPr>
          <w:i/>
          <w:iCs/>
        </w:rPr>
        <w:t xml:space="preserve">training set</w:t>
      </w:r>
      <w:r>
        <w:t xml:space="preserve"> </w:t>
      </w:r>
      <w:r>
        <w:t xml:space="preserve">to estimate model parameters.</w:t>
      </w:r>
    </w:p>
    <w:p>
      <w:pPr>
        <w:pStyle w:val="Compact"/>
        <w:numPr>
          <w:ilvl w:val="0"/>
          <w:numId w:val="1003"/>
        </w:numPr>
      </w:pPr>
      <w:r>
        <w:t xml:space="preserve">Use the</w:t>
      </w:r>
      <w:r>
        <w:t xml:space="preserve"> </w:t>
      </w:r>
      <w:r>
        <w:rPr>
          <w:i/>
          <w:iCs/>
        </w:rPr>
        <w:t xml:space="preserve">validation set</w:t>
      </w:r>
      <w:r>
        <w:t xml:space="preserve"> </w:t>
      </w:r>
      <w:r>
        <w:t xml:space="preserve">to compare candidate models,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tune hyperparameters.</w:t>
      </w:r>
    </w:p>
    <w:p>
      <w:pPr>
        <w:pStyle w:val="Compact"/>
        <w:numPr>
          <w:ilvl w:val="0"/>
          <w:numId w:val="1003"/>
        </w:numPr>
      </w:pPr>
      <w:r>
        <w:t xml:space="preserve">Use the</w:t>
      </w:r>
      <w:r>
        <w:t xml:space="preserve"> </w:t>
      </w:r>
      <w:r>
        <w:rPr>
          <w:i/>
          <w:iCs/>
        </w:rPr>
        <w:t xml:space="preserve">test set</w:t>
      </w:r>
      <w:r>
        <w:t xml:space="preserve"> </w:t>
      </w:r>
      <w:r>
        <w:t xml:space="preserve">once at the end</w:t>
      </w:r>
      <w:r>
        <w:t xml:space="preserve"> </w:t>
      </w:r>
      <w:r>
        <w:t xml:space="preserve">to estimate final out-of-sample performance.</w:t>
      </w:r>
    </w:p>
    <w:bookmarkEnd w:id="15"/>
    <w:p>
      <w:pPr>
        <w:pStyle w:val="FirstParagraph"/>
      </w:pPr>
      <w:r>
        <w:t xml:space="preserve">This validation approach extends the basic train/test split</w:t>
      </w:r>
      <w:r>
        <w:t xml:space="preserve"> </w:t>
      </w:r>
      <w:r>
        <w:t xml:space="preserve">by separating model tuning</w:t>
      </w:r>
      <w:r>
        <w:t xml:space="preserve"> </w:t>
      </w:r>
      <w:r>
        <w:t xml:space="preserve">from final model assessment.</w:t>
      </w:r>
      <w:r>
        <w:t xml:space="preserve"> </w:t>
      </w:r>
      <w:r>
        <w:t xml:space="preserve">It follows</w:t>
      </w:r>
      <w:r>
        <w:t xml:space="preserve"> </w:t>
      </w:r>
      <w:r>
        <w:t xml:space="preserve">James et al. (2021, 198–201)</w:t>
      </w:r>
      <w:r>
        <w:t xml:space="preserve">.</w:t>
      </w:r>
    </w:p>
    <w:p>
      <w:pPr>
        <w:pStyle w:val="BodyText"/>
      </w:pPr>
      <w:r>
        <w:t xml:space="preserve">Keeping the test set untouched during model building</w:t>
      </w:r>
      <w:r>
        <w:t xml:space="preserve"> </w:t>
      </w:r>
      <w:r>
        <w:t xml:space="preserve">helps avoid optimistic bias</w:t>
      </w:r>
      <w:r>
        <w:t xml:space="preserve"> </w:t>
      </w:r>
      <w:r>
        <w:t xml:space="preserve">from repeatedly trying many models.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Start w:id="35" w:name="exm-train-validation-test-split"/>
    <w:p>
      <w:pPr>
        <w:pStyle w:val="BodyText"/>
      </w:pPr>
      <w:r>
        <w:rPr>
          <w:b/>
          <w:bCs/>
        </w:rPr>
        <w:t xml:space="preserve">Example 1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1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(James et al. 2021, 213)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</w:t>
      </w:r>
      <w:r>
        <w:br/>
      </w:r>
      <w:r>
        <w:br/>
      </w:r>
      <w:r>
        <w:rPr>
          <w:rStyle w:val="NormalTok"/>
        </w:rPr>
        <w:t xml:space="preserve">n_train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floor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n_valid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floor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n)</w:t>
      </w:r>
      <w:r>
        <w:br/>
      </w:r>
      <w:r>
        <w:br/>
      </w:r>
      <w:r>
        <w:rPr>
          <w:rStyle w:val="NormalTok"/>
        </w:rPr>
        <w:t xml:space="preserve">idx_train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sample.int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n_train)</w:t>
      </w:r>
      <w:r>
        <w:br/>
      </w:r>
      <w:r>
        <w:rPr>
          <w:rStyle w:val="NormalTok"/>
        </w:rPr>
        <w:t xml:space="preserve">idx_remaining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(n), idx_train)</w:t>
      </w:r>
      <w:r>
        <w:br/>
      </w:r>
      <w:r>
        <w:rPr>
          <w:rStyle w:val="NormalTok"/>
        </w:rPr>
        <w:t xml:space="preserve">idx_valid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(idx_remaining,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n_valid)</w:t>
      </w:r>
      <w:r>
        <w:br/>
      </w:r>
      <w:r>
        <w:rPr>
          <w:rStyle w:val="NormalTok"/>
        </w:rPr>
        <w:t xml:space="preserve">idx_test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(idx_remaining, idx_valid)</w:t>
      </w:r>
      <w:r>
        <w:br/>
      </w:r>
      <w:r>
        <w:br/>
      </w:r>
      <w:r>
        <w:rPr>
          <w:rStyle w:val="NormalTok"/>
        </w:rPr>
        <w:t xml:space="preserve">split_sizes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(idx_train),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(idx_valid),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(idx_test))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6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compute_rmse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compute_rmse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compute_rmse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compute_rmse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compute_rmse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</w:t>
      </w:r>
      <w:r>
        <w:br/>
      </w:r>
      <w:r>
        <w:rPr>
          <w:rStyle w:val="NormalTok"/>
        </w:rPr>
        <w:t xml:space="preserve">    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partition_shapes[[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partition_colors[[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</w:t>
      </w:r>
      <w:r>
        <w:br/>
      </w:r>
      <w:r>
        <w:rPr>
          <w:rStyle w:val="NormalTok"/>
        </w:rPr>
        <w:t xml:space="preserve">   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partition_shapes[[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partition_colors[[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</w:t>
      </w:r>
      <w:r>
        <w:br/>
      </w:r>
      <w:r>
        <w:rPr>
          <w:rStyle w:val="NormalTok"/>
        </w:rPr>
        <w:t xml:space="preserve">   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partition_shapes[[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partition_colors[[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(wt_grid, fitted_curve,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"topright"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, fit_label),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(partition_colors),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(partition_shapes),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bty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Linear model fit superimposed on data partitions</w:t>
            </w:r>
          </w:p>
          <w:bookmarkEnd w:id="2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Quadratic model fit superimposed on data partitions</w:t>
            </w:r>
          </w:p>
          <w:bookmarkEnd w:id="2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Cubic model fit superimposed on data partitions</w:t>
            </w:r>
          </w:p>
          <w:bookmarkEnd w:id="2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7-1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Quartic model fit superimposed on data partitions</w:t>
            </w:r>
          </w:p>
          <w:bookmarkEnd w:id="3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33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34"/>
        </w:tc>
      </w:tr>
    </w:tbl>
    <w:bookmarkEnd w:id="35"/>
    <w:bookmarkEnd w:id="36"/>
    <w:bookmarkStart w:id="40" w:name="sec-kfold"/>
    <w:p>
      <w:pPr>
        <w:pStyle w:val="Heading2"/>
      </w:pPr>
      <w:r>
        <w:t xml:space="preserve">3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37" w:name="exr-kfold"/>
    <w:p>
      <w:pPr>
        <w:pStyle w:val="FirstParagraph"/>
      </w:pPr>
      <w:r>
        <w:rPr>
          <w:b/>
          <w:bCs/>
        </w:rPr>
        <w:t xml:space="preserve">Exercise 3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04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04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04"/>
        </w:numPr>
      </w:pPr>
      <w:r>
        <w:t xml:space="preserve">How many times is a given car used for fitting, and how many times for prediction?</w:t>
      </w:r>
    </w:p>
    <w:bookmarkEnd w:id="37"/>
    <w:bookmarkStart w:id="38" w:name="sol-kfold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Compact"/>
        <w:numPr>
          <w:ilvl w:val="0"/>
          <w:numId w:val="1005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05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05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05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38"/>
    <w:bookmarkStart w:id="39" w:name="def-kfold"/>
    <w:p>
      <w:pPr>
        <w:pStyle w:val="FirstParagraph"/>
      </w:pPr>
      <w:r>
        <w:rPr>
          <w:b/>
          <w:bCs/>
        </w:rPr>
        <w:t xml:space="preserve">Definition 3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equal-sized subsets (</w:t>
      </w:r>
      <w:r>
        <w:t xml:space="preserve">“folds”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For each fold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07"/>
        </w:numPr>
      </w:pPr>
      <w:r>
        <w:t xml:space="preserve">Fit the model using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pStyle w:val="Compact"/>
        <w:numPr>
          <w:ilvl w:val="1"/>
          <w:numId w:val="1007"/>
        </w:numPr>
      </w:pPr>
      <w:r>
        <w:t xml:space="preserve">Compute predicted values for the observations in fold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Compute a summary prediction-error measure across all folds.</w:t>
      </w:r>
    </w:p>
    <w:p>
      <w:pPr>
        <w:pStyle w:val="FirstParagraph"/>
      </w:pPr>
      <w:r>
        <w:t xml:space="preserve">Values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are typical.</w:t>
      </w:r>
    </w:p>
    <w:bookmarkEnd w:id="39"/>
    <w:p>
      <w:pPr>
        <w:pStyle w:val="BodyText"/>
      </w:pP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40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42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41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image" Id="rId21" Target="media/rId21.png" /><Relationship Type="http://schemas.openxmlformats.org/officeDocument/2006/relationships/image" Id="rId25" Target="media/rId25.png" /><Relationship Type="http://schemas.openxmlformats.org/officeDocument/2006/relationships/image" Id="rId29" Target="media/rId29.png" /><Relationship Type="http://schemas.openxmlformats.org/officeDocument/2006/relationships/hyperlink" Id="rId41" Target="https://doi.org/10.1007/978-1-0716-1418-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https://doi.org/10.1007/978-1-0716-1418-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2026-10-02T08:58:10Z</dcterms:created>
  <dcterms:modified xsi:type="dcterms:W3CDTF">2026-10-02T08:58:10Z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2026-10-02 01:47:22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